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96" w:rsidRDefault="00DE5A96" w:rsidP="00DE5A96">
      <w:pPr>
        <w:jc w:val="both"/>
        <w:outlineLvl w:val="0"/>
        <w:rPr>
          <w:rFonts w:asciiTheme="minorHAnsi" w:eastAsia="Times New Roman" w:hAnsiTheme="minorHAnsi" w:cstheme="minorHAnsi"/>
          <w:b/>
          <w:spacing w:val="3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pacing w:val="30"/>
          <w:sz w:val="24"/>
          <w:szCs w:val="24"/>
        </w:rPr>
        <w:t xml:space="preserve">Čestné vyhlásenie o akceptácií podmienok súťaže a neprítomnosti konfliktu záujmov </w:t>
      </w:r>
    </w:p>
    <w:p w:rsidR="00DE5A96" w:rsidRDefault="00DE5A96" w:rsidP="00DE5A96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E5A96" w:rsidRDefault="00DE5A96" w:rsidP="00DE5A96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E5A96" w:rsidRDefault="00DE5A96" w:rsidP="00DE5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Spoločnosť</w:t>
      </w:r>
      <w:r>
        <w:rPr>
          <w:rFonts w:asciiTheme="minorHAnsi" w:hAnsiTheme="minorHAnsi" w:cstheme="minorHAnsi"/>
          <w:i/>
          <w:sz w:val="20"/>
          <w:szCs w:val="20"/>
        </w:rPr>
        <w:t xml:space="preserve"> [</w:t>
      </w:r>
      <w:r>
        <w:rPr>
          <w:rFonts w:asciiTheme="minorHAnsi" w:hAnsiTheme="minorHAnsi" w:cstheme="minorHAnsi"/>
          <w:i/>
          <w:sz w:val="20"/>
          <w:szCs w:val="20"/>
          <w:highlight w:val="darkGray"/>
        </w:rPr>
        <w:t>doplniť názov uchádzača</w:t>
      </w:r>
      <w:r>
        <w:rPr>
          <w:rFonts w:asciiTheme="minorHAnsi" w:hAnsiTheme="minorHAnsi" w:cstheme="minorHAnsi"/>
          <w:i/>
          <w:sz w:val="20"/>
          <w:szCs w:val="20"/>
        </w:rPr>
        <w:t>],</w:t>
      </w:r>
      <w:r>
        <w:rPr>
          <w:rFonts w:asciiTheme="minorHAnsi" w:hAnsiTheme="minorHAnsi" w:cstheme="minorHAnsi"/>
          <w:sz w:val="20"/>
          <w:szCs w:val="20"/>
        </w:rPr>
        <w:t xml:space="preserve"> zastúpená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>
        <w:rPr>
          <w:rFonts w:asciiTheme="minorHAnsi" w:hAnsiTheme="minorHAnsi" w:cstheme="minorHAnsi"/>
          <w:i/>
          <w:sz w:val="20"/>
          <w:szCs w:val="20"/>
          <w:highlight w:val="darkGray"/>
        </w:rPr>
        <w:t>doplniť meno a priezvisko štatut</w:t>
      </w: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  <w:highlight w:val="darkGray"/>
        </w:rPr>
        <w:t>árneho zástupcu</w:t>
      </w:r>
      <w:r>
        <w:rPr>
          <w:rFonts w:asciiTheme="minorHAnsi" w:hAnsiTheme="minorHAnsi" w:cstheme="minorHAnsi"/>
          <w:i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ako uchádzač, ktorý predložil ponuku do verejnej súťaže na obstaranie nadlimitnej zákazky na predmet </w:t>
      </w:r>
      <w:r>
        <w:rPr>
          <w:rFonts w:asciiTheme="minorHAnsi" w:hAnsiTheme="minorHAnsi" w:cstheme="minorHAnsi"/>
          <w:b/>
          <w:sz w:val="20"/>
          <w:szCs w:val="20"/>
        </w:rPr>
        <w:t>„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>Rekon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š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>truk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č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>n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é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 xml:space="preserve"> a stavebn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é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 xml:space="preserve"> pr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á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>ce na vybran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ý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>ch objektoch v SEV SA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Ž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 xml:space="preserve">P Dropie </w:t>
      </w:r>
      <w:r w:rsidR="00352F24" w:rsidRPr="00352F24">
        <w:rPr>
          <w:rFonts w:asciiTheme="minorHAnsi" w:hAnsiTheme="minorHAnsi" w:cstheme="minorHAnsi" w:hint="eastAsia"/>
          <w:b/>
          <w:sz w:val="20"/>
          <w:szCs w:val="20"/>
        </w:rPr>
        <w:t>–</w:t>
      </w:r>
      <w:r w:rsidR="00352F24" w:rsidRPr="00352F24">
        <w:rPr>
          <w:rFonts w:asciiTheme="minorHAnsi" w:hAnsiTheme="minorHAnsi" w:cstheme="minorHAnsi"/>
          <w:b/>
          <w:sz w:val="20"/>
          <w:szCs w:val="20"/>
        </w:rPr>
        <w:t xml:space="preserve"> Projekt Living Lab</w:t>
      </w:r>
      <w:r>
        <w:rPr>
          <w:rFonts w:asciiTheme="minorHAnsi" w:hAnsiTheme="minorHAnsi" w:cstheme="minorHAnsi"/>
          <w:b/>
          <w:sz w:val="20"/>
          <w:szCs w:val="20"/>
        </w:rPr>
        <w:t>“</w:t>
      </w:r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>
        <w:rPr>
          <w:rFonts w:asciiTheme="minorHAnsi" w:hAnsiTheme="minorHAnsi" w:cstheme="minorHAnsi"/>
          <w:b/>
          <w:sz w:val="20"/>
          <w:szCs w:val="20"/>
        </w:rPr>
        <w:t xml:space="preserve">Slovenská agentúra životného prostredia, Tajovského 28, 975 90 Banská Bystrica </w:t>
      </w:r>
      <w:r>
        <w:rPr>
          <w:rFonts w:asciiTheme="minorHAnsi" w:hAnsiTheme="minorHAnsi" w:cstheme="minorHAnsi"/>
          <w:sz w:val="20"/>
          <w:szCs w:val="20"/>
        </w:rPr>
        <w:t>(ďalej len „</w:t>
      </w:r>
      <w:r>
        <w:rPr>
          <w:rFonts w:asciiTheme="minorHAnsi" w:hAnsiTheme="minorHAnsi" w:cstheme="minorHAnsi"/>
          <w:b/>
          <w:sz w:val="20"/>
          <w:szCs w:val="20"/>
        </w:rPr>
        <w:t>verejný obstarávateľ</w:t>
      </w:r>
      <w:r>
        <w:rPr>
          <w:rFonts w:asciiTheme="minorHAnsi" w:hAnsiTheme="minorHAnsi" w:cstheme="minorHAnsi"/>
          <w:sz w:val="20"/>
          <w:szCs w:val="20"/>
        </w:rPr>
        <w:t xml:space="preserve">“) “) oznámením o vyhlásení verejného obstarávania </w:t>
      </w:r>
      <w:r>
        <w:rPr>
          <w:rFonts w:asciiTheme="minorHAnsi" w:hAnsiTheme="minorHAnsi" w:cstheme="minorHAnsi"/>
          <w:bCs/>
          <w:sz w:val="20"/>
          <w:szCs w:val="20"/>
        </w:rPr>
        <w:t xml:space="preserve">vo Vestníku verejného obstarávania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číslo Vestníka</w:t>
      </w:r>
      <w:r>
        <w:rPr>
          <w:rFonts w:asciiTheme="minorHAnsi" w:hAnsiTheme="minorHAnsi" w:cstheme="minorHAnsi"/>
          <w:bCs/>
          <w:i/>
          <w:sz w:val="20"/>
          <w:szCs w:val="20"/>
        </w:rPr>
        <w:t>]</w:t>
      </w:r>
      <w:r>
        <w:rPr>
          <w:rFonts w:asciiTheme="minorHAnsi" w:hAnsiTheme="minorHAnsi" w:cstheme="minorHAnsi"/>
          <w:bCs/>
          <w:sz w:val="20"/>
          <w:szCs w:val="20"/>
        </w:rPr>
        <w:t xml:space="preserve"> zo dňa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dátum zverejnenia vo Vestníku</w:t>
      </w:r>
      <w:r>
        <w:rPr>
          <w:rFonts w:asciiTheme="minorHAnsi" w:hAnsiTheme="minorHAnsi" w:cstheme="minorHAnsi"/>
          <w:bCs/>
          <w:i/>
          <w:sz w:val="20"/>
          <w:szCs w:val="20"/>
        </w:rPr>
        <w:t>]</w:t>
      </w:r>
      <w:r>
        <w:rPr>
          <w:rFonts w:asciiTheme="minorHAnsi" w:hAnsiTheme="minorHAnsi" w:cstheme="minorHAnsi"/>
          <w:bCs/>
          <w:sz w:val="20"/>
          <w:szCs w:val="20"/>
        </w:rPr>
        <w:t xml:space="preserve"> pod číslom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číslo značky vo Vestníku</w:t>
      </w:r>
      <w:r>
        <w:rPr>
          <w:rFonts w:asciiTheme="minorHAnsi" w:hAnsiTheme="minorHAnsi" w:cstheme="minorHAnsi"/>
          <w:bCs/>
          <w:i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a v Dodatku k Úradnému vestníku Európskej únie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>
        <w:rPr>
          <w:rFonts w:asciiTheme="minorHAnsi" w:hAnsiTheme="minorHAnsi" w:cstheme="minorHAnsi"/>
          <w:i/>
          <w:sz w:val="20"/>
          <w:szCs w:val="20"/>
          <w:highlight w:val="lightGray"/>
          <w:shd w:val="clear" w:color="auto" w:fill="BFBFBF" w:themeFill="background1" w:themeFillShade="BF"/>
        </w:rPr>
        <w:t>d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oplniť číslo značky vo Vestníku</w:t>
      </w:r>
      <w:r>
        <w:rPr>
          <w:rFonts w:asciiTheme="minorHAnsi" w:hAnsiTheme="minorHAnsi" w:cstheme="minorHAnsi"/>
          <w:i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zo dňa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dátum zverejnenia</w:t>
      </w:r>
      <w:r>
        <w:rPr>
          <w:rFonts w:asciiTheme="minorHAnsi" w:hAnsiTheme="minorHAnsi" w:cstheme="minorHAnsi"/>
          <w:i/>
          <w:sz w:val="20"/>
          <w:szCs w:val="20"/>
        </w:rPr>
        <w:t xml:space="preserve">] </w:t>
      </w:r>
      <w:r>
        <w:rPr>
          <w:rFonts w:asciiTheme="minorHAnsi" w:hAnsiTheme="minorHAnsi" w:cstheme="minorHAnsi"/>
          <w:sz w:val="20"/>
          <w:szCs w:val="20"/>
        </w:rPr>
        <w:t xml:space="preserve"> (ďalej len „</w:t>
      </w:r>
      <w:r>
        <w:rPr>
          <w:rFonts w:asciiTheme="minorHAnsi" w:hAnsiTheme="minorHAnsi" w:cstheme="minorHAnsi"/>
          <w:b/>
          <w:sz w:val="20"/>
          <w:szCs w:val="20"/>
        </w:rPr>
        <w:t>verejná súťaž</w:t>
      </w:r>
      <w:r>
        <w:rPr>
          <w:rFonts w:asciiTheme="minorHAnsi" w:hAnsiTheme="minorHAnsi" w:cstheme="minorHAnsi"/>
          <w:sz w:val="20"/>
          <w:szCs w:val="20"/>
        </w:rPr>
        <w:t>“)</w:t>
      </w:r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týmto </w:t>
      </w:r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č e s t n e  v y h l a s u j e m , ž e </w:t>
      </w:r>
    </w:p>
    <w:p w:rsidR="00DE5A96" w:rsidRDefault="00DE5A96" w:rsidP="00DE5A96">
      <w:pPr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v súvislosti s konfliktom záujmov v zmysle § 23 zákona č. 343/2015 Z.z. o verejnom obstarávaní a o zmene a doplnení niektorých zákonov v platnom znení (ďalej len „ZVO“) v rámci zadávania tejto zákazky,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som nevyvíjal a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nebudem vyvíjať voči žiadnej osobe na strane verejného obstarávateľa, ktorá je alebo by mohla byť zainteresovaná v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zmysle ustanovení § 23 ods. 3 ZVO (</w:t>
      </w:r>
      <w:r>
        <w:rPr>
          <w:rFonts w:asciiTheme="minorHAnsi" w:eastAsia="Proba Pro" w:hAnsiTheme="minorHAnsi" w:cstheme="minorHAnsi"/>
          <w:b/>
          <w:sz w:val="20"/>
          <w:szCs w:val="20"/>
        </w:rPr>
        <w:t>„zainteresovaná osoba</w:t>
      </w:r>
      <w:r>
        <w:rPr>
          <w:rFonts w:asciiTheme="minorHAnsi" w:eastAsia="Proba Pro" w:hAnsiTheme="minorHAnsi" w:cstheme="minorHAnsi"/>
          <w:sz w:val="20"/>
          <w:szCs w:val="20"/>
        </w:rPr>
        <w:t>“) akékoľvek aktivity, ktoré vy mohli viesť k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zvýhodneniu nášho postavenia v súťaži,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neposkytol som a neposkytnem akejkoľvek čo i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 xml:space="preserve">len potencionálne zainteresovanej osobe priamo alebo nepriamo akúkoľvek finančnú alebo vecnú výhodu ako motiváciu alebo odmenu súvisiacu so zadaním tejto zákazky, 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priebehu procesu verejného obstarávania,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poskytnem verejnému obstarávateľovi v postupe tohto verejného obstarávania presné, pravdivé a úplné informácie;</w:t>
      </w:r>
    </w:p>
    <w:p w:rsidR="00DE5A96" w:rsidRDefault="00DE5A96" w:rsidP="00DE5A96">
      <w:pPr>
        <w:widowControl w:val="0"/>
        <w:spacing w:line="264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 súvislosti so sankciami voči Ruskej federácií,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eastAsia="Proba Pro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spoločnosti</w:t>
      </w:r>
      <w:r>
        <w:rPr>
          <w:rFonts w:asciiTheme="minorHAnsi" w:eastAsia="Proba Pro" w:hAnsiTheme="minorHAnsi" w:cstheme="minorHAnsi"/>
          <w:sz w:val="20"/>
          <w:szCs w:val="20"/>
        </w:rPr>
        <w:t>, ktorá je uchádzačom nefiguruje ruská účasť, ktorá prekračuje limity stanovené v článku 5k nariadenie Rady (EÚ) č. 833/2014 z 31. júla 2014 o reštriktívnych opatrenia s ohľadom na konanie Ruska, ktorým destabilizuje situáciu na Ukrajine v znení nariadenie Rady (EÚ) č. 2022/578 z 8. apríla 2022, predovšetkým vyhlasujem, že: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uchádzač nie je ruským štátnym príslušníkom ani fyzickou alebo právnickou osobou, subjektov alebo orgánom so sídlom v Rusku;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uchádzač nie je právnickou osobou, subjektom alebo orgánom, ktorých vlastnícke práva priamo alebo nepriamo vlastní z viac ako 50% subjekt uvedený v písm. a) vyššie;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uchádzač nie je fyzická alebo právnická osoba, subjekt alebo orgán, ktorý koná v menej alebo na príkaz subjektu uvedeného v písm. a) alebo b) vyššie;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subdodávatelia alebo subjekty, ktorých kapacity uchádzač využíva na preukázanie podmienok účasti, ktoré sú subjektami uvedenými v písm. a) až c) vyššie, nemajú účasť vyššiu ako 10% hodnoty zákazky.</w:t>
      </w:r>
    </w:p>
    <w:p w:rsidR="00DE5A96" w:rsidRDefault="00DE5A96" w:rsidP="00DE5A96">
      <w:pPr>
        <w:widowControl w:val="0"/>
        <w:pBdr>
          <w:bottom w:val="single" w:sz="12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v súvislosti s akceptáciou podmienok tejto súťaže,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že v plnom rozsahu a bez výhrad súhlasím so všetkými podmienkami verejnej súťaže uvedenými v oznámení o vyhlásení verejnej súťaže, v súťažných podkladoch pre vypracovanie ponúk a ich prílohách, ktoré som v súvislosti s touto verejnou súťažou prevzal, vrátane obchodných podmienok (návrh zmluvy), ktoré tvoria súčasť súťažných podkladov pre vypracovanie ponuky, a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lastRenderedPageBreak/>
        <w:t>všetky</w:t>
      </w:r>
      <w:r>
        <w:rPr>
          <w:rFonts w:asciiTheme="minorHAnsi" w:hAnsiTheme="minorHAnsi" w:cstheme="minorHAnsi"/>
          <w:sz w:val="20"/>
          <w:szCs w:val="20"/>
        </w:rPr>
        <w:t xml:space="preserve"> mnou predložené doklady a údaje uvedené v ponuke sú pravdivé a úplné</w:t>
      </w:r>
      <w:r>
        <w:rPr>
          <w:rFonts w:asciiTheme="minorHAnsi" w:eastAsia="Proba Pro" w:hAnsiTheme="minorHAnsi" w:cstheme="minorHAnsi"/>
          <w:sz w:val="20"/>
          <w:szCs w:val="20"/>
        </w:rPr>
        <w:t>;</w:t>
      </w:r>
    </w:p>
    <w:p w:rsidR="00DE5A96" w:rsidRDefault="00DE5A96" w:rsidP="00DE5A96">
      <w:pPr>
        <w:widowControl w:val="0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v súvislosti s využitím subdodávateľov v rámci realizácie predmetu zákazky, 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prípade uzavretia záväzkového vzťahu s verejným obstarávateľom na vyššie uvedený predmet </w:t>
      </w:r>
      <w:r>
        <w:rPr>
          <w:rFonts w:asciiTheme="minorHAnsi" w:eastAsia="Proba Pro" w:hAnsiTheme="minorHAnsi" w:cstheme="minorHAnsi"/>
          <w:sz w:val="20"/>
          <w:szCs w:val="20"/>
        </w:rPr>
        <w:t>obstarávania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E5A96" w:rsidRDefault="00080E87" w:rsidP="00DE5A96">
      <w:pPr>
        <w:widowControl w:val="0"/>
        <w:spacing w:line="264" w:lineRule="auto"/>
        <w:ind w:left="1134" w:hanging="141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  nebudem plnenie predmetu zmluvy poskytovať prostredníctvom subdodávateľa/-ov,</w:t>
      </w:r>
    </w:p>
    <w:p w:rsidR="00DE5A96" w:rsidRDefault="00080E87" w:rsidP="00DE5A96">
      <w:pPr>
        <w:widowControl w:val="0"/>
        <w:tabs>
          <w:tab w:val="left" w:pos="1418"/>
        </w:tabs>
        <w:spacing w:line="264" w:lineRule="auto"/>
        <w:ind w:left="1413" w:hanging="4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  </w:t>
      </w:r>
      <w:r w:rsidR="00DE5A96">
        <w:rPr>
          <w:rFonts w:asciiTheme="minorHAnsi" w:hAnsiTheme="minorHAnsi" w:cstheme="minorHAnsi"/>
          <w:sz w:val="20"/>
          <w:szCs w:val="20"/>
        </w:rPr>
        <w:tab/>
        <w:t>informácie o subdodávateľoch uvediem verejnému obstarávateľovi najneskôr v čase uzavretia zmluvy (napr. z dôvodu, že v čase predkladania ponuky mi informácie o subdodávateľoch nie sú známe),</w:t>
      </w:r>
    </w:p>
    <w:p w:rsidR="00DE5A96" w:rsidRDefault="00080E87" w:rsidP="00DE5A96">
      <w:pPr>
        <w:widowControl w:val="0"/>
        <w:tabs>
          <w:tab w:val="left" w:pos="1418"/>
        </w:tabs>
        <w:spacing w:after="240" w:line="264" w:lineRule="auto"/>
        <w:ind w:left="1412" w:hanging="4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325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budem plnenie predmetu zmluvy poskytovať prostredníctvom nasledovných subdodávateľov v nasledovnom rozsahu:</w:t>
      </w:r>
    </w:p>
    <w:p w:rsidR="00DE5A96" w:rsidRDefault="00DE5A96" w:rsidP="00DE5A96">
      <w:pPr>
        <w:widowControl w:val="0"/>
        <w:tabs>
          <w:tab w:val="left" w:pos="1418"/>
        </w:tabs>
        <w:spacing w:after="240" w:line="264" w:lineRule="auto"/>
        <w:ind w:left="1412" w:hanging="4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21"/>
        <w:gridCol w:w="604"/>
        <w:gridCol w:w="1140"/>
        <w:gridCol w:w="855"/>
        <w:gridCol w:w="1134"/>
        <w:gridCol w:w="1418"/>
        <w:gridCol w:w="1984"/>
      </w:tblGrid>
      <w:tr w:rsidR="00DE5A96" w:rsidTr="00DE5A9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Obchodné meno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IČO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Informácie o osobe oprávnenej konať za subdodávateľa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Podiel subdodávky v 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Subdodávateľ získa zo subdodávky finančné prostriedky prevyšujúce 100.000 EUR bez DPH </w:t>
            </w:r>
          </w:p>
        </w:tc>
      </w:tr>
      <w:tr w:rsidR="00DE5A96" w:rsidTr="00DE5A96">
        <w:trPr>
          <w:trHeight w:val="1385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meno a priezvisko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adresa pobytu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dátum narodenia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E5A96" w:rsidTr="00DE5A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6" w:rsidRDefault="00080E87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Nie </w:t>
            </w:r>
          </w:p>
        </w:tc>
      </w:tr>
      <w:tr w:rsidR="00DE5A96" w:rsidTr="00DE5A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6" w:rsidRDefault="00080E87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</w:tc>
      </w:tr>
    </w:tbl>
    <w:p w:rsidR="00DE5A96" w:rsidRDefault="00DE5A96" w:rsidP="00DE5A96">
      <w:pPr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v súvislosti s vypracovaním ponuky v zmysle § 49 ods. 5 ZVO,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sme ako uchádzač vypracovali túto ponuku </w:t>
      </w:r>
    </w:p>
    <w:p w:rsidR="00DE5A96" w:rsidRDefault="00080E87" w:rsidP="00DE5A96">
      <w:pPr>
        <w:widowControl w:val="0"/>
        <w:tabs>
          <w:tab w:val="left" w:pos="1418"/>
        </w:tabs>
        <w:spacing w:after="120" w:line="264" w:lineRule="auto"/>
        <w:ind w:left="1134" w:hanging="14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990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 </w:t>
      </w:r>
      <w:r w:rsidR="00DE5A96">
        <w:rPr>
          <w:rFonts w:asciiTheme="minorHAnsi" w:hAnsiTheme="minorHAnsi" w:cstheme="minorHAnsi"/>
          <w:sz w:val="20"/>
          <w:szCs w:val="20"/>
        </w:rPr>
        <w:tab/>
        <w:t>samostatne,</w:t>
      </w:r>
    </w:p>
    <w:p w:rsidR="00DE5A96" w:rsidRDefault="00DE5A96" w:rsidP="00DE5A96">
      <w:pPr>
        <w:widowControl w:val="0"/>
        <w:spacing w:after="120" w:line="264" w:lineRule="auto"/>
        <w:ind w:left="1276" w:hanging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371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 využitím služieb alebo podkladov nasledovných osôb (pozn.: osôb odlišných od zamestnancov uchádzača):        </w:t>
      </w:r>
    </w:p>
    <w:p w:rsidR="00DE5A96" w:rsidRDefault="00DE5A96" w:rsidP="00DE5A96">
      <w:pPr>
        <w:widowControl w:val="0"/>
        <w:spacing w:after="120" w:line="264" w:lineRule="auto"/>
        <w:ind w:left="1276" w:hanging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771"/>
        <w:gridCol w:w="2384"/>
      </w:tblGrid>
      <w:tr w:rsidR="00DE5A96" w:rsidTr="00DE5A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DE5A96" w:rsidTr="00DE5A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A96" w:rsidTr="00DE5A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E5A96" w:rsidRDefault="00DE5A96" w:rsidP="00DE5A96">
      <w:pPr>
        <w:widowControl w:val="0"/>
        <w:tabs>
          <w:tab w:val="left" w:pos="5103"/>
        </w:tabs>
        <w:spacing w:before="120" w:line="264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:rsidR="00DE5A96" w:rsidRDefault="00DE5A96" w:rsidP="00DE5A96">
      <w:pPr>
        <w:widowControl w:val="0"/>
        <w:tabs>
          <w:tab w:val="left" w:pos="5103"/>
        </w:tabs>
        <w:spacing w:before="120" w:line="264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v súvislosti s ochranou osobných údajov v zmysle zákona č. 18/2019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o ochrane osobných údajov a o zmene a doplnení niektorých zákonov v znení neskorších predpisov (ďalej aj ako „ZoOÚ“),</w:t>
      </w:r>
    </w:p>
    <w:p w:rsidR="00DE5A96" w:rsidRDefault="00DE5A96" w:rsidP="00DE5A96">
      <w:pPr>
        <w:widowControl w:val="0"/>
        <w:tabs>
          <w:tab w:val="left" w:pos="5103"/>
        </w:tabs>
        <w:spacing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rozsahu, v akom to predpisuje ZoOÚ, som si od všetkých dotknutých osôb, ktorých osobné údaje sú obsiahnuté v mojej ponuke, zabezpečil všetky potrebné súhlasy so spracovaním osobných údajov za účelom podania tejto ponuky a poučil všetky dotknuté osoby o spôsobe a rozsahu spracovania ich osobných údajov na účel podania tejto ponuky a 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všetky dotknuté osoby mi udelili svoj súhlas na to, aby tieto osobné údaje boli poskytnuté, a aby ich ďalej za deklarovaným účelom spracovával verejný obstarávateľ.</w:t>
      </w:r>
    </w:p>
    <w:p w:rsidR="00DE5A96" w:rsidRDefault="00DE5A96" w:rsidP="00DE5A96">
      <w:pPr>
        <w:widowControl w:val="0"/>
        <w:spacing w:after="120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jc w:val="both"/>
        <w:rPr>
          <w:rFonts w:asciiTheme="minorHAnsi" w:eastAsia="Proba Pro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 xml:space="preserve">V </w:t>
      </w:r>
      <w:r>
        <w:rPr>
          <w:rFonts w:asciiTheme="minorHAnsi" w:eastAsia="Proba Pro" w:hAnsiTheme="minorHAnsi" w:cstheme="minorHAnsi"/>
          <w:i/>
          <w:sz w:val="20"/>
          <w:szCs w:val="20"/>
        </w:rPr>
        <w:t>[</w:t>
      </w:r>
      <w:r>
        <w:rPr>
          <w:rFonts w:asciiTheme="minorHAnsi" w:eastAsia="Proba Pro" w:hAnsiTheme="minorHAnsi" w:cstheme="minorHAnsi"/>
          <w:i/>
          <w:sz w:val="20"/>
          <w:szCs w:val="20"/>
          <w:highlight w:val="lightGray"/>
        </w:rPr>
        <w:t>doplniť miesto</w:t>
      </w:r>
      <w:r>
        <w:rPr>
          <w:rFonts w:asciiTheme="minorHAnsi" w:eastAsia="Proba Pro" w:hAnsiTheme="minorHAnsi" w:cstheme="minorHAnsi"/>
          <w:i/>
          <w:sz w:val="20"/>
          <w:szCs w:val="20"/>
        </w:rPr>
        <w:t>]</w:t>
      </w:r>
      <w:r>
        <w:rPr>
          <w:rFonts w:asciiTheme="minorHAnsi" w:eastAsia="Proba Pro" w:hAnsiTheme="minorHAnsi" w:cstheme="minorHAnsi"/>
          <w:sz w:val="20"/>
          <w:szCs w:val="20"/>
        </w:rPr>
        <w:t xml:space="preserve"> dňa </w:t>
      </w:r>
      <w:r>
        <w:rPr>
          <w:rFonts w:asciiTheme="minorHAnsi" w:eastAsia="Proba Pro" w:hAnsiTheme="minorHAnsi" w:cstheme="minorHAnsi"/>
          <w:i/>
          <w:sz w:val="20"/>
          <w:szCs w:val="20"/>
        </w:rPr>
        <w:t>[</w:t>
      </w:r>
      <w:r>
        <w:rPr>
          <w:rFonts w:asciiTheme="minorHAnsi" w:eastAsia="Proba Pro" w:hAnsiTheme="minorHAnsi" w:cstheme="minorHAnsi"/>
          <w:i/>
          <w:sz w:val="20"/>
          <w:szCs w:val="20"/>
          <w:highlight w:val="lightGray"/>
        </w:rPr>
        <w:t>doplniť dátum</w:t>
      </w:r>
      <w:r>
        <w:rPr>
          <w:rFonts w:asciiTheme="minorHAnsi" w:eastAsia="Proba Pro" w:hAnsiTheme="minorHAnsi" w:cstheme="minorHAnsi"/>
          <w:i/>
          <w:sz w:val="20"/>
          <w:szCs w:val="20"/>
        </w:rPr>
        <w:t>]</w:t>
      </w:r>
    </w:p>
    <w:p w:rsidR="00DE5A96" w:rsidRDefault="00DE5A96" w:rsidP="00DE5A96">
      <w:pPr>
        <w:widowControl w:val="0"/>
        <w:jc w:val="right"/>
        <w:rPr>
          <w:rFonts w:asciiTheme="minorHAnsi" w:eastAsia="Proba Pro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  <w:t>_________________________________</w:t>
      </w:r>
    </w:p>
    <w:p w:rsidR="00DE5A96" w:rsidRDefault="00DE5A96" w:rsidP="00DE5A96">
      <w:pPr>
        <w:jc w:val="both"/>
        <w:rPr>
          <w:rFonts w:asciiTheme="minorHAnsi" w:hAnsiTheme="minorHAnsi" w:cstheme="minorHAnsi"/>
          <w:bCs/>
          <w:i/>
          <w:sz w:val="20"/>
          <w:szCs w:val="20"/>
          <w:highlight w:val="lightGray"/>
        </w:rPr>
      </w:pPr>
      <w:r>
        <w:rPr>
          <w:rFonts w:asciiTheme="minorHAnsi" w:eastAsia="Proba Pro" w:hAnsiTheme="minorHAnsi" w:cstheme="minorHAnsi"/>
          <w:sz w:val="20"/>
          <w:szCs w:val="20"/>
        </w:rPr>
        <w:t xml:space="preserve">                                                                                   </w:t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eastAsia="Proba Pro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</w:rPr>
        <w:t xml:space="preserve">doplniť meno a priezvisko  </w:t>
      </w:r>
    </w:p>
    <w:p w:rsidR="00DE5A96" w:rsidRDefault="00DE5A96" w:rsidP="00DE5A96">
      <w:pPr>
        <w:ind w:left="5040" w:firstLine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   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</w:rPr>
        <w:t>a  podpis oprávnenej osoby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] </w:t>
      </w: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jc w:val="both"/>
        <w:outlineLvl w:val="0"/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tabs>
          <w:tab w:val="left" w:pos="372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</w:p>
    <w:p w:rsidR="00DE5A96" w:rsidRDefault="00DE5A96" w:rsidP="00DE5A96">
      <w:pPr>
        <w:tabs>
          <w:tab w:val="left" w:pos="2930"/>
        </w:tabs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30"/>
          <w:sz w:val="20"/>
          <w:szCs w:val="20"/>
        </w:rPr>
        <w:tab/>
      </w:r>
    </w:p>
    <w:p w:rsidR="00DE5A96" w:rsidRDefault="00DE5A96" w:rsidP="00DE5A96">
      <w:pPr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A12B74" w:rsidRDefault="00A12B74"/>
    <w:sectPr w:rsidR="00A12B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87" w:rsidRDefault="00080E87" w:rsidP="00DE5A96">
      <w:r>
        <w:separator/>
      </w:r>
    </w:p>
  </w:endnote>
  <w:endnote w:type="continuationSeparator" w:id="0">
    <w:p w:rsidR="00080E87" w:rsidRDefault="00080E87" w:rsidP="00D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87" w:rsidRDefault="00080E87" w:rsidP="00DE5A96">
      <w:r>
        <w:separator/>
      </w:r>
    </w:p>
  </w:footnote>
  <w:footnote w:type="continuationSeparator" w:id="0">
    <w:p w:rsidR="00080E87" w:rsidRDefault="00080E87" w:rsidP="00DE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6" w:rsidRDefault="00DE5A96">
    <w:pPr>
      <w:pStyle w:val="Hlavika"/>
    </w:pPr>
    <w:r>
      <w:rPr>
        <w:rFonts w:asciiTheme="minorHAnsi" w:eastAsia="Times New Roman" w:hAnsiTheme="minorHAnsi" w:cstheme="minorHAnsi"/>
        <w:b/>
        <w:spacing w:val="30"/>
        <w:sz w:val="24"/>
        <w:szCs w:val="24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4630"/>
    <w:multiLevelType w:val="multilevel"/>
    <w:tmpl w:val="C9BEFF7A"/>
    <w:styleLink w:val="Importovantl22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676C56D4"/>
    <w:multiLevelType w:val="hybridMultilevel"/>
    <w:tmpl w:val="A7D8A036"/>
    <w:lvl w:ilvl="0" w:tplc="D256C14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266A"/>
    <w:multiLevelType w:val="multilevel"/>
    <w:tmpl w:val="4D26FD4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Nudista" w:hAnsi="Nudista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Times New Roman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96"/>
    <w:rsid w:val="00080E87"/>
    <w:rsid w:val="00352F24"/>
    <w:rsid w:val="00A12B74"/>
    <w:rsid w:val="00AB3D3C"/>
    <w:rsid w:val="00D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07CC"/>
  <w15:chartTrackingRefBased/>
  <w15:docId w15:val="{0A207122-0B0E-4437-82B7-B3F023E3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DE5A96"/>
    <w:pPr>
      <w:spacing w:after="0" w:line="240" w:lineRule="auto"/>
    </w:pPr>
    <w:rPr>
      <w:rFonts w:ascii="PT Serif" w:hAnsi="PT Serif"/>
      <w:noProof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locked/>
    <w:rsid w:val="00DE5A96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DE5A96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SAPHlavnChar">
    <w:name w:val="SAŽP Hlavný Char"/>
    <w:basedOn w:val="Predvolenpsmoodseku"/>
    <w:link w:val="SAPHlavn"/>
    <w:locked/>
    <w:rsid w:val="00DE5A96"/>
    <w:rPr>
      <w:rFonts w:ascii="Proba Pro" w:eastAsiaTheme="majorEastAsia" w:hAnsi="Proba Pro" w:cstheme="majorBidi"/>
      <w:b/>
      <w:noProof/>
      <w:color w:val="000000" w:themeColor="text1"/>
      <w:spacing w:val="30"/>
      <w:sz w:val="28"/>
      <w:szCs w:val="28"/>
      <w:lang w:eastAsia="sk-SK"/>
    </w:rPr>
  </w:style>
  <w:style w:type="paragraph" w:customStyle="1" w:styleId="SAPHlavn">
    <w:name w:val="SAŽP Hlavný"/>
    <w:basedOn w:val="Nadpis1"/>
    <w:link w:val="SAPHlavnChar"/>
    <w:qFormat/>
    <w:rsid w:val="00DE5A96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  <w:lang w:eastAsia="sk-SK"/>
    </w:rPr>
  </w:style>
  <w:style w:type="numbering" w:customStyle="1" w:styleId="Importovantl221">
    <w:name w:val="Importovaný štýl 221"/>
    <w:rsid w:val="00DE5A96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DE5A96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DE5A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5A96"/>
    <w:rPr>
      <w:rFonts w:ascii="PT Serif" w:hAnsi="PT Serif"/>
      <w:noProof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DE5A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5A96"/>
    <w:rPr>
      <w:rFonts w:ascii="PT Serif" w:hAnsi="PT Serif"/>
      <w:noProof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3</cp:revision>
  <dcterms:created xsi:type="dcterms:W3CDTF">2024-04-03T11:57:00Z</dcterms:created>
  <dcterms:modified xsi:type="dcterms:W3CDTF">2024-04-03T12:03:00Z</dcterms:modified>
</cp:coreProperties>
</file>