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FD585" w14:textId="77777777" w:rsidR="00754C58" w:rsidRPr="00442763" w:rsidRDefault="00754C58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</w:p>
    <w:p w14:paraId="5C5F0D81" w14:textId="77777777" w:rsidR="007D2761" w:rsidRPr="00442763" w:rsidRDefault="007D2761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</w:p>
    <w:p w14:paraId="459604ED" w14:textId="77777777" w:rsidR="007D2761" w:rsidRPr="00442763" w:rsidRDefault="007D2761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</w:p>
    <w:p w14:paraId="3D9EEA36" w14:textId="77777777" w:rsidR="00FB0191" w:rsidRPr="00442763" w:rsidRDefault="00FB0191" w:rsidP="00FB0191">
      <w:pPr>
        <w:jc w:val="center"/>
        <w:rPr>
          <w:b/>
          <w:bCs/>
          <w:lang w:val="hu-HU"/>
        </w:rPr>
      </w:pPr>
      <w:r w:rsidRPr="00442763">
        <w:rPr>
          <w:b/>
          <w:bCs/>
          <w:lang w:val="hu-HU"/>
        </w:rPr>
        <w:t>SAJTÓKÖZLEMÉNY</w:t>
      </w:r>
    </w:p>
    <w:p w14:paraId="0728AE90" w14:textId="77777777" w:rsidR="00B75E4F" w:rsidRPr="00442763" w:rsidRDefault="00B75E4F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</w:p>
    <w:p w14:paraId="37B9F3AB" w14:textId="567E913A" w:rsidR="00FB0191" w:rsidRPr="00442763" w:rsidRDefault="00FB0191" w:rsidP="00FB0191">
      <w:pPr>
        <w:spacing w:after="0"/>
        <w:jc w:val="center"/>
        <w:rPr>
          <w:b/>
          <w:bCs/>
          <w:lang w:val="hu-HU"/>
        </w:rPr>
      </w:pPr>
      <w:r w:rsidRPr="00442763">
        <w:rPr>
          <w:b/>
          <w:bCs/>
          <w:lang w:val="hu-HU"/>
        </w:rPr>
        <w:t>Új szennyvíztisztító teleppel és esőkerttel bővült a Túzokos Környezetnevelési Központ</w:t>
      </w:r>
    </w:p>
    <w:p w14:paraId="55EBFE63" w14:textId="50964851" w:rsidR="00FB0191" w:rsidRPr="00442763" w:rsidRDefault="00FB0191" w:rsidP="00FB0191">
      <w:pPr>
        <w:spacing w:after="0"/>
        <w:jc w:val="center"/>
        <w:rPr>
          <w:b/>
          <w:bCs/>
          <w:lang w:val="hu-HU"/>
        </w:rPr>
      </w:pPr>
      <w:r w:rsidRPr="00442763">
        <w:rPr>
          <w:b/>
          <w:bCs/>
          <w:lang w:val="hu-HU"/>
        </w:rPr>
        <w:t>A bővítés a norvég partnerekkel közösen megvalósított projektnek köszönhető</w:t>
      </w:r>
    </w:p>
    <w:p w14:paraId="0977FE90" w14:textId="77777777" w:rsidR="00786EA2" w:rsidRPr="00442763" w:rsidRDefault="00786EA2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</w:p>
    <w:p w14:paraId="5B6D9428" w14:textId="77777777" w:rsidR="00B75E4F" w:rsidRPr="00442763" w:rsidRDefault="00B75E4F" w:rsidP="00FB0191">
      <w:pPr>
        <w:pStyle w:val="Bezriadkovania"/>
        <w:tabs>
          <w:tab w:val="left" w:pos="9923"/>
        </w:tabs>
        <w:ind w:right="422"/>
        <w:jc w:val="center"/>
        <w:rPr>
          <w:i/>
          <w:lang w:val="hu-HU"/>
        </w:rPr>
      </w:pPr>
    </w:p>
    <w:p w14:paraId="15D9A511" w14:textId="77777777" w:rsidR="00B75E4F" w:rsidRPr="00442763" w:rsidRDefault="00241086" w:rsidP="00FB0191">
      <w:pPr>
        <w:pStyle w:val="Bezriadkovania"/>
        <w:tabs>
          <w:tab w:val="left" w:pos="9923"/>
        </w:tabs>
        <w:spacing w:line="360" w:lineRule="auto"/>
        <w:ind w:right="422"/>
        <w:jc w:val="center"/>
        <w:rPr>
          <w:i/>
          <w:lang w:val="hu-HU"/>
        </w:rPr>
      </w:pPr>
      <w:r w:rsidRPr="00442763">
        <w:rPr>
          <w:i/>
          <w:lang w:val="hu-HU"/>
        </w:rPr>
        <w:t>Banská Bystrica /SEV</w:t>
      </w:r>
      <w:r w:rsidR="00ED2A0E" w:rsidRPr="00442763">
        <w:rPr>
          <w:i/>
          <w:lang w:val="hu-HU"/>
        </w:rPr>
        <w:t xml:space="preserve"> Dropie, 22. november 2023</w:t>
      </w:r>
    </w:p>
    <w:p w14:paraId="1D210DDF" w14:textId="77777777" w:rsidR="00FB0191" w:rsidRPr="00442763" w:rsidRDefault="00FB0191" w:rsidP="00FB0191">
      <w:pPr>
        <w:jc w:val="both"/>
        <w:rPr>
          <w:b/>
          <w:bCs/>
          <w:lang w:val="hu-HU"/>
        </w:rPr>
      </w:pPr>
      <w:r w:rsidRPr="00442763">
        <w:rPr>
          <w:b/>
          <w:bCs/>
          <w:lang w:val="hu-HU"/>
        </w:rPr>
        <w:t>A Szlovák Környezetvédelmi Ügynökség Túzokos Környezetnevelési Központja 2021 óta vesz részt az Éghajlatváltozás mérséklése és az éghajlatváltozáshoz való alkalmazkodás program (SK-Klíma) projektjében. E projekt keretében a délnyugat-szlovákiai Nemesócsán található létesítmény forradalmi átalakuláson megy keresztül, és a klímaváltozást bemutató oktatóközponttá alakul, más néven Túzokos Élő Laboratóriummá válik.</w:t>
      </w:r>
    </w:p>
    <w:p w14:paraId="77DCEFF6" w14:textId="5B8AFFAB" w:rsidR="00FB0191" w:rsidRPr="00442763" w:rsidRDefault="00FB0191" w:rsidP="00FB0191">
      <w:pPr>
        <w:jc w:val="both"/>
        <w:rPr>
          <w:lang w:val="hu-HU"/>
        </w:rPr>
      </w:pPr>
      <w:r w:rsidRPr="00442763">
        <w:rPr>
          <w:lang w:val="hu-HU"/>
        </w:rPr>
        <w:t xml:space="preserve">Az SK-Klíma Program kezelője a SZK Környezetvédelmi Minisztériuma, a </w:t>
      </w:r>
      <w:r w:rsidRPr="00442763">
        <w:rPr>
          <w:b/>
          <w:bCs/>
          <w:lang w:val="hu-HU"/>
        </w:rPr>
        <w:t xml:space="preserve">Klímaváltozási és Környezetnevelési Oktatóközpont (Living Lab) a Túzokoson </w:t>
      </w:r>
      <w:r w:rsidRPr="00442763">
        <w:rPr>
          <w:lang w:val="hu-HU"/>
        </w:rPr>
        <w:t>projekt a norvég partnerekkel, a Bjerknes Klímakutató Központtal és Trondheim Városával együttműködve valósul meg. "</w:t>
      </w:r>
      <w:r w:rsidRPr="00442763">
        <w:rPr>
          <w:i/>
          <w:iCs/>
          <w:lang w:val="hu-HU"/>
        </w:rPr>
        <w:t xml:space="preserve">Az </w:t>
      </w:r>
      <w:r w:rsidR="00DD7C2C" w:rsidRPr="00442763">
        <w:rPr>
          <w:i/>
          <w:iCs/>
          <w:lang w:val="hu-HU"/>
        </w:rPr>
        <w:t xml:space="preserve">félidei </w:t>
      </w:r>
      <w:r w:rsidRPr="00442763">
        <w:rPr>
          <w:i/>
          <w:iCs/>
          <w:lang w:val="hu-HU"/>
        </w:rPr>
        <w:t xml:space="preserve">projektrendezvény célja, hogy bemutassa és megismertesse a helyi érdekeltekkel, </w:t>
      </w:r>
      <w:r w:rsidR="00DD7C2C" w:rsidRPr="00442763">
        <w:rPr>
          <w:i/>
          <w:iCs/>
          <w:lang w:val="hu-HU"/>
        </w:rPr>
        <w:t xml:space="preserve">az alsó- csallóközi régió lakosságával, </w:t>
      </w:r>
      <w:r w:rsidRPr="00442763">
        <w:rPr>
          <w:i/>
          <w:iCs/>
          <w:lang w:val="hu-HU"/>
        </w:rPr>
        <w:t>a norvég partnerek képviselőivel, a SzK Környezetvédelmi Minisztériumának képviselőivel, a médiával és a szakmai nyilvánossággal a projekt menetét és az eddigi eredményeket, melynek értelmében a Túzokos Környezetnevelési Központ (SEV SAŽP Dropie) az éghajlatváltozás mérséklésére és az alkalmazkodásra irányuló intézkedések gyakorlati bemutatására szolgáló oktatóközponttá alakul át. A projekt emellett erősíti különböző célcsoportok rendszerszintű környezeti nevelését és képzését</w:t>
      </w:r>
      <w:r w:rsidRPr="00442763">
        <w:rPr>
          <w:lang w:val="hu-HU"/>
        </w:rPr>
        <w:t xml:space="preserve">," – ismertette Denis Knotka, a SZK Környezetvédelmi Minisztériuma Környezetvédelmi programok és projektek osztályának </w:t>
      </w:r>
      <w:r w:rsidR="00DD7C2C" w:rsidRPr="00442763">
        <w:rPr>
          <w:lang w:val="hu-HU"/>
        </w:rPr>
        <w:t>vezetője</w:t>
      </w:r>
      <w:r w:rsidRPr="00442763">
        <w:rPr>
          <w:lang w:val="hu-HU"/>
        </w:rPr>
        <w:t>. A Túzokos Környezetnevelési Központban megvalósított klímaoktatásban az elmúlt két év alatt több mint 600 diák, tanuló és gyermek vett részt. A Központ munkatársai élményszerű tevékenységeken keresztül ismertették meg a résztvevőket az éghajlatváltozás helyi következményeivel, amelyek legfőképp aszály, hőség és szélsőséges éghajlati jelenségek formájában nyilvánulnak meg.</w:t>
      </w:r>
    </w:p>
    <w:p w14:paraId="2928C810" w14:textId="77777777" w:rsidR="00F140B8" w:rsidRPr="00442763" w:rsidRDefault="00F140B8" w:rsidP="00FB0191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hu-HU"/>
        </w:rPr>
      </w:pPr>
    </w:p>
    <w:p w14:paraId="47461985" w14:textId="6BD43B12" w:rsidR="00FB0191" w:rsidRPr="00442763" w:rsidRDefault="00FB0191" w:rsidP="00FB0191">
      <w:pPr>
        <w:jc w:val="both"/>
        <w:rPr>
          <w:lang w:val="hu-HU"/>
        </w:rPr>
      </w:pPr>
      <w:r w:rsidRPr="00442763">
        <w:rPr>
          <w:lang w:val="hu-HU"/>
        </w:rPr>
        <w:t>A </w:t>
      </w:r>
      <w:r w:rsidR="00442763" w:rsidRPr="00442763">
        <w:rPr>
          <w:lang w:val="hu-HU"/>
        </w:rPr>
        <w:t>projekt együttműködésből</w:t>
      </w:r>
      <w:r w:rsidRPr="00442763">
        <w:rPr>
          <w:lang w:val="hu-HU"/>
        </w:rPr>
        <w:t xml:space="preserve"> több gyakorlati eredmény született. Ide tartozik a Túzokos Környezetnevelési Központ területén létesített esőkert, valamint szennyvíztisztító telep, amelyek hozzájárulnak a klímaváltozás hatásmérsékléséhez. "</w:t>
      </w:r>
      <w:r w:rsidRPr="00442763">
        <w:rPr>
          <w:i/>
          <w:iCs/>
          <w:lang w:val="hu-HU"/>
        </w:rPr>
        <w:t>Az éghajlatváltozás következményei Szlovákia különböző részein eltérőek, ezért a megvalósított intézkedéseknek a régiók sajátosságait kell tükrözniük. Az Alsó-Csallóközben a klímaváltozás legjelentősebb következménye az aszály. Az esőkert, mint az egyik alkalmazkodási intézkedés, a gyakorlatban mutatja be az aszály enyhítésének lehetőségét. Ennek köszönhetően a víz beszivárog a talajba és hatékonyan hűti a mikroklímát, míg a párolgás párásítja a levegőt</w:t>
      </w:r>
      <w:r w:rsidRPr="00442763">
        <w:rPr>
          <w:lang w:val="hu-HU"/>
        </w:rPr>
        <w:t>" – fejtette ki Katarína Vajliková, Túzokos Környezetnevelési Központ vezetője. Az esőkert hatékonyan csökkenti a levegőben lévő allergének és por mennyiségét, ezért hozzájárul a tisztább és egészségesebb levegőhöz.</w:t>
      </w:r>
    </w:p>
    <w:p w14:paraId="53E28F70" w14:textId="77777777" w:rsidR="00786EA2" w:rsidRPr="00442763" w:rsidRDefault="00786EA2" w:rsidP="00FB0191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hu-HU"/>
        </w:rPr>
      </w:pPr>
    </w:p>
    <w:p w14:paraId="35A5AD48" w14:textId="77777777" w:rsidR="00786EA2" w:rsidRPr="00442763" w:rsidRDefault="00786EA2" w:rsidP="00FB0191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hu-HU"/>
        </w:rPr>
      </w:pPr>
    </w:p>
    <w:p w14:paraId="2FF564B8" w14:textId="77777777" w:rsidR="003631A3" w:rsidRPr="00442763" w:rsidRDefault="003631A3" w:rsidP="00FB0191">
      <w:pPr>
        <w:pStyle w:val="Bezriadkovania"/>
        <w:tabs>
          <w:tab w:val="left" w:pos="9923"/>
        </w:tabs>
        <w:spacing w:line="360" w:lineRule="auto"/>
        <w:ind w:right="422"/>
        <w:jc w:val="center"/>
        <w:rPr>
          <w:lang w:val="hu-HU"/>
        </w:rPr>
      </w:pPr>
    </w:p>
    <w:p w14:paraId="14863C50" w14:textId="47EB0797" w:rsidR="00FB0191" w:rsidRPr="00442763" w:rsidRDefault="00FB0191" w:rsidP="00FB0191">
      <w:pPr>
        <w:jc w:val="both"/>
        <w:rPr>
          <w:lang w:val="hu-HU"/>
        </w:rPr>
      </w:pPr>
      <w:r w:rsidRPr="00442763">
        <w:rPr>
          <w:lang w:val="hu-HU"/>
        </w:rPr>
        <w:t>A környék diákjai és főiskolai hallgatói is kivették részüket a munkából. Oktatóik, vezetőik irányításával tavaly ősszel szakmai műhelymunka keretén belül kertet létesítettek. Az ide telepített tájjellegű évelő növények segítségével biodiverzitás-</w:t>
      </w:r>
      <w:r w:rsidR="00442763">
        <w:rPr>
          <w:lang w:val="hu-HU"/>
        </w:rPr>
        <w:t xml:space="preserve"> </w:t>
      </w:r>
      <w:r w:rsidRPr="00442763">
        <w:rPr>
          <w:lang w:val="hu-HU"/>
        </w:rPr>
        <w:t>szigetet hoztak létre, amely sokféle beporzó számára biztosít életteret.</w:t>
      </w:r>
    </w:p>
    <w:p w14:paraId="1B25ADF3" w14:textId="053ED155" w:rsidR="00FB0191" w:rsidRPr="00442763" w:rsidRDefault="00FB0191" w:rsidP="00FB0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Theme="minorHAnsi"/>
          <w:kern w:val="2"/>
          <w:lang w:val="hu-HU"/>
          <w14:ligatures w14:val="standardContextual"/>
        </w:rPr>
      </w:pPr>
      <w:r w:rsidRPr="00442763">
        <w:rPr>
          <w:lang w:val="hu-HU"/>
        </w:rPr>
        <w:t xml:space="preserve">A Csallóköz másik nagy kihívása </w:t>
      </w:r>
      <w:r w:rsidRPr="00442763">
        <w:rPr>
          <w:rFonts w:eastAsiaTheme="minorHAnsi"/>
          <w:kern w:val="2"/>
          <w:lang w:val="hu-HU"/>
          <w14:ligatures w14:val="standardContextual"/>
        </w:rPr>
        <w:t>a szennyvíz kezelése</w:t>
      </w:r>
      <w:r w:rsidRPr="00442763">
        <w:rPr>
          <w:lang w:val="hu-HU"/>
        </w:rPr>
        <w:t xml:space="preserve"> és </w:t>
      </w:r>
      <w:r w:rsidRPr="00442763">
        <w:rPr>
          <w:rFonts w:eastAsiaTheme="minorHAnsi"/>
          <w:kern w:val="2"/>
          <w:lang w:val="hu-HU"/>
          <w14:ligatures w14:val="standardContextual"/>
        </w:rPr>
        <w:t>tisztítása</w:t>
      </w:r>
      <w:r w:rsidRPr="00442763">
        <w:rPr>
          <w:lang w:val="hu-HU"/>
        </w:rPr>
        <w:t xml:space="preserve">. </w:t>
      </w:r>
      <w:r w:rsidR="00D7489C" w:rsidRPr="00442763">
        <w:rPr>
          <w:lang w:val="hu-HU"/>
        </w:rPr>
        <w:t xml:space="preserve">Példaként felhozható adaptációs intézkedés e régóta fennálló probléma terén, </w:t>
      </w:r>
      <w:r w:rsidR="00D7489C" w:rsidRPr="00442763">
        <w:rPr>
          <w:b/>
          <w:lang w:val="hu-HU"/>
        </w:rPr>
        <w:t xml:space="preserve">amely </w:t>
      </w:r>
      <w:r w:rsidR="00D7489C" w:rsidRPr="00442763">
        <w:rPr>
          <w:lang w:val="hu-HU"/>
        </w:rPr>
        <w:t xml:space="preserve">jelentős előrelépés </w:t>
      </w:r>
      <w:r w:rsidR="00D7489C" w:rsidRPr="00442763">
        <w:rPr>
          <w:b/>
          <w:lang w:val="hu-HU"/>
        </w:rPr>
        <w:t xml:space="preserve">kimondottan </w:t>
      </w:r>
      <w:r w:rsidR="00D7489C" w:rsidRPr="00442763">
        <w:rPr>
          <w:lang w:val="hu-HU"/>
        </w:rPr>
        <w:t>a Túzokos</w:t>
      </w:r>
      <w:r w:rsidR="00D7489C" w:rsidRPr="00442763">
        <w:rPr>
          <w:highlight w:val="yellow"/>
          <w:lang w:val="hu-HU"/>
        </w:rPr>
        <w:t xml:space="preserve"> </w:t>
      </w:r>
      <w:r w:rsidRPr="00442763">
        <w:rPr>
          <w:lang w:val="hu-HU"/>
        </w:rPr>
        <w:t xml:space="preserve">területén jelen projekt keretén belül megépített kisléptékű </w:t>
      </w:r>
      <w:r w:rsidRPr="00442763">
        <w:rPr>
          <w:rFonts w:eastAsiaTheme="minorHAnsi"/>
          <w:kern w:val="2"/>
          <w:lang w:val="hu-HU"/>
          <w14:ligatures w14:val="standardContextual"/>
        </w:rPr>
        <w:t>szennyvíztisztító telep</w:t>
      </w:r>
      <w:r w:rsidRPr="00442763">
        <w:rPr>
          <w:lang w:val="hu-HU"/>
        </w:rPr>
        <w:t xml:space="preserve">. </w:t>
      </w:r>
      <w:r w:rsidRPr="00442763">
        <w:rPr>
          <w:rFonts w:eastAsiaTheme="minorHAnsi"/>
          <w:kern w:val="2"/>
          <w:lang w:val="hu-HU"/>
          <w14:ligatures w14:val="standardContextual"/>
        </w:rPr>
        <w:t>„</w:t>
      </w:r>
      <w:r w:rsidRPr="00442763">
        <w:rPr>
          <w:i/>
          <w:iCs/>
          <w:lang w:val="hu-HU"/>
        </w:rPr>
        <w:t xml:space="preserve">A szennyvíztisztító telep a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szaniter konténer épületé</w:t>
      </w:r>
      <w:r w:rsidRPr="00442763">
        <w:rPr>
          <w:i/>
          <w:iCs/>
          <w:lang w:val="hu-HU"/>
        </w:rPr>
        <w:t>ben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, az információs központb</w:t>
      </w:r>
      <w:r w:rsidRPr="00442763">
        <w:rPr>
          <w:i/>
          <w:iCs/>
          <w:lang w:val="hu-HU"/>
        </w:rPr>
        <w:t xml:space="preserve">an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és a</w:t>
      </w:r>
      <w:r w:rsidRPr="00442763">
        <w:rPr>
          <w:i/>
          <w:iCs/>
          <w:lang w:val="hu-HU"/>
        </w:rPr>
        <w:t xml:space="preserve"> büfében keletkező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 xml:space="preserve">szennyvíz </w:t>
      </w:r>
      <w:r w:rsidRPr="00442763">
        <w:rPr>
          <w:i/>
          <w:iCs/>
          <w:lang w:val="hu-HU"/>
        </w:rPr>
        <w:t xml:space="preserve">elvezetését és annak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 xml:space="preserve">környezetvédelmi szempontból megfelelő </w:t>
      </w:r>
      <w:r w:rsidRPr="00442763">
        <w:rPr>
          <w:i/>
          <w:iCs/>
          <w:lang w:val="hu-HU"/>
        </w:rPr>
        <w:t xml:space="preserve">feldolgozását szolgálja majd.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A tisztított v</w:t>
      </w:r>
      <w:r w:rsidRPr="00442763">
        <w:rPr>
          <w:i/>
          <w:iCs/>
          <w:lang w:val="hu-HU"/>
        </w:rPr>
        <w:t xml:space="preserve">íz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 xml:space="preserve">nyáron </w:t>
      </w:r>
      <w:r w:rsidRPr="00442763">
        <w:rPr>
          <w:i/>
          <w:iCs/>
          <w:lang w:val="hu-HU"/>
        </w:rPr>
        <w:t xml:space="preserve">az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aszálytól és csapadékhiánytól sújtott növényzet öntözésére</w:t>
      </w:r>
      <w:r w:rsidRPr="00442763">
        <w:rPr>
          <w:i/>
          <w:iCs/>
          <w:lang w:val="hu-HU"/>
        </w:rPr>
        <w:t xml:space="preserve"> hasznosul.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A</w:t>
      </w:r>
      <w:r w:rsidRPr="00442763">
        <w:rPr>
          <w:i/>
          <w:iCs/>
          <w:lang w:val="hu-HU"/>
        </w:rPr>
        <w:t> szennyvíz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tisztító</w:t>
      </w:r>
      <w:r w:rsidRPr="00442763">
        <w:rPr>
          <w:i/>
          <w:iCs/>
          <w:lang w:val="hu-HU"/>
        </w:rPr>
        <w:t xml:space="preserve">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 xml:space="preserve">idén október végén </w:t>
      </w:r>
      <w:r w:rsidRPr="00442763">
        <w:rPr>
          <w:i/>
          <w:iCs/>
          <w:lang w:val="hu-HU"/>
        </w:rPr>
        <w:t xml:space="preserve">került átadásra, </w:t>
      </w:r>
      <w:r w:rsidRPr="00442763">
        <w:rPr>
          <w:rFonts w:eastAsiaTheme="minorHAnsi"/>
          <w:i/>
          <w:iCs/>
          <w:kern w:val="2"/>
          <w:lang w:val="hu-HU"/>
          <w14:ligatures w14:val="standardContextual"/>
        </w:rPr>
        <w:t>jelenleg próbaüzem</w:t>
      </w:r>
      <w:r w:rsidRPr="00442763">
        <w:rPr>
          <w:i/>
          <w:iCs/>
          <w:lang w:val="hu-HU"/>
        </w:rPr>
        <w:t>ben van</w:t>
      </w:r>
      <w:r w:rsidRPr="00442763">
        <w:rPr>
          <w:lang w:val="hu-HU"/>
        </w:rPr>
        <w:t>,</w:t>
      </w:r>
      <w:r w:rsidRPr="00442763">
        <w:rPr>
          <w:rFonts w:eastAsiaTheme="minorHAnsi"/>
          <w:kern w:val="2"/>
          <w:lang w:val="hu-HU"/>
          <w14:ligatures w14:val="standardContextual"/>
        </w:rPr>
        <w:t>" – tette hozzá Matej Kerestúr, a</w:t>
      </w:r>
      <w:r w:rsidRPr="00442763">
        <w:rPr>
          <w:lang w:val="hu-HU"/>
        </w:rPr>
        <w:t> SZKÜ (</w:t>
      </w:r>
      <w:r w:rsidRPr="00442763">
        <w:rPr>
          <w:rFonts w:eastAsiaTheme="minorHAnsi"/>
          <w:kern w:val="2"/>
          <w:lang w:val="hu-HU"/>
          <w14:ligatures w14:val="standardContextual"/>
        </w:rPr>
        <w:t>SAŽP</w:t>
      </w:r>
      <w:r w:rsidRPr="00442763">
        <w:rPr>
          <w:lang w:val="hu-HU"/>
        </w:rPr>
        <w:t>)</w:t>
      </w:r>
      <w:r w:rsidRPr="00442763">
        <w:rPr>
          <w:rFonts w:eastAsiaTheme="minorHAnsi"/>
          <w:kern w:val="2"/>
          <w:lang w:val="hu-HU"/>
          <w14:ligatures w14:val="standardContextual"/>
        </w:rPr>
        <w:t xml:space="preserve"> vezérigazgatója. A központ </w:t>
      </w:r>
      <w:r w:rsidRPr="00442763">
        <w:rPr>
          <w:lang w:val="hu-HU"/>
        </w:rPr>
        <w:t xml:space="preserve">korszerűsítése a </w:t>
      </w:r>
      <w:r w:rsidRPr="00442763">
        <w:rPr>
          <w:rFonts w:eastAsiaTheme="minorHAnsi"/>
          <w:kern w:val="2"/>
          <w:lang w:val="hu-HU"/>
          <w14:ligatures w14:val="standardContextual"/>
        </w:rPr>
        <w:t>norvég támogatások</w:t>
      </w:r>
      <w:r w:rsidRPr="00442763">
        <w:rPr>
          <w:lang w:val="hu-HU"/>
        </w:rPr>
        <w:t xml:space="preserve">nak köszönhetően tovább </w:t>
      </w:r>
      <w:r w:rsidRPr="00442763">
        <w:rPr>
          <w:rFonts w:eastAsiaTheme="minorHAnsi"/>
          <w:kern w:val="2"/>
          <w:lang w:val="hu-HU"/>
          <w14:ligatures w14:val="standardContextual"/>
        </w:rPr>
        <w:t>folytat</w:t>
      </w:r>
      <w:r w:rsidRPr="00442763">
        <w:rPr>
          <w:lang w:val="hu-HU"/>
        </w:rPr>
        <w:t xml:space="preserve">ódik. </w:t>
      </w:r>
      <w:r w:rsidRPr="00442763">
        <w:rPr>
          <w:rFonts w:eastAsiaTheme="minorHAnsi"/>
          <w:kern w:val="2"/>
          <w:lang w:val="hu-HU"/>
          <w14:ligatures w14:val="standardContextual"/>
        </w:rPr>
        <w:t xml:space="preserve"> A </w:t>
      </w:r>
      <w:r w:rsidRPr="00442763">
        <w:rPr>
          <w:b/>
          <w:bCs/>
          <w:lang w:val="hu-HU"/>
        </w:rPr>
        <w:t xml:space="preserve">Klímaváltozási és Környezetnevelési Oktatóközpont (Living Lab) a Túzokoson </w:t>
      </w:r>
      <w:r w:rsidRPr="00442763">
        <w:rPr>
          <w:rFonts w:eastAsiaTheme="minorHAnsi"/>
          <w:kern w:val="2"/>
          <w:lang w:val="hu-HU"/>
          <w14:ligatures w14:val="standardContextual"/>
        </w:rPr>
        <w:t>projekt keretében felújít</w:t>
      </w:r>
      <w:r w:rsidRPr="00442763">
        <w:rPr>
          <w:lang w:val="hu-HU"/>
        </w:rPr>
        <w:t xml:space="preserve">ásra kerül </w:t>
      </w:r>
      <w:r w:rsidRPr="00442763">
        <w:rPr>
          <w:rFonts w:eastAsiaTheme="minorHAnsi"/>
          <w:kern w:val="2"/>
          <w:lang w:val="hu-HU"/>
          <w14:ligatures w14:val="standardContextual"/>
        </w:rPr>
        <w:t>az információs központ épület</w:t>
      </w:r>
      <w:r w:rsidRPr="00442763">
        <w:rPr>
          <w:lang w:val="hu-HU"/>
        </w:rPr>
        <w:t>e</w:t>
      </w:r>
      <w:r w:rsidRPr="00442763">
        <w:rPr>
          <w:rFonts w:eastAsiaTheme="minorHAnsi"/>
          <w:kern w:val="2"/>
          <w:lang w:val="hu-HU"/>
          <w14:ligatures w14:val="standardContextual"/>
        </w:rPr>
        <w:t xml:space="preserve">, </w:t>
      </w:r>
      <w:r w:rsidRPr="00442763">
        <w:rPr>
          <w:lang w:val="hu-HU"/>
        </w:rPr>
        <w:t xml:space="preserve">és a Túzokos területén </w:t>
      </w:r>
      <w:r w:rsidRPr="00442763">
        <w:rPr>
          <w:rFonts w:eastAsiaTheme="minorHAnsi"/>
          <w:kern w:val="2"/>
          <w:lang w:val="hu-HU"/>
          <w14:ligatures w14:val="standardContextual"/>
        </w:rPr>
        <w:t>további adaptációs és hatásmérséklő intézkedések</w:t>
      </w:r>
      <w:r w:rsidRPr="00442763">
        <w:rPr>
          <w:lang w:val="hu-HU"/>
        </w:rPr>
        <w:t xml:space="preserve"> kerülnek bevezetésre. Ezek keretén belül a jövőben </w:t>
      </w:r>
      <w:r w:rsidRPr="00442763">
        <w:rPr>
          <w:rFonts w:eastAsiaTheme="minorHAnsi"/>
          <w:kern w:val="2"/>
          <w:lang w:val="hu-HU"/>
          <w14:ligatures w14:val="standardContextual"/>
        </w:rPr>
        <w:t>hőszivattyúk</w:t>
      </w:r>
      <w:r w:rsidRPr="00442763">
        <w:rPr>
          <w:lang w:val="hu-HU"/>
        </w:rPr>
        <w:t xml:space="preserve"> </w:t>
      </w:r>
      <w:r w:rsidR="00442763" w:rsidRPr="00442763">
        <w:rPr>
          <w:lang w:val="hu-HU"/>
        </w:rPr>
        <w:t xml:space="preserve">és fotovoltaikus panelek </w:t>
      </w:r>
      <w:bookmarkStart w:id="0" w:name="_GoBack"/>
      <w:bookmarkEnd w:id="0"/>
      <w:r w:rsidRPr="00442763">
        <w:rPr>
          <w:lang w:val="hu-HU"/>
        </w:rPr>
        <w:t>lesznek</w:t>
      </w:r>
      <w:r w:rsidRPr="00442763">
        <w:rPr>
          <w:rFonts w:eastAsiaTheme="minorHAnsi"/>
          <w:kern w:val="2"/>
          <w:lang w:val="hu-HU"/>
          <w14:ligatures w14:val="standardContextual"/>
        </w:rPr>
        <w:t xml:space="preserve"> telepít</w:t>
      </w:r>
      <w:r w:rsidRPr="00442763">
        <w:rPr>
          <w:lang w:val="hu-HU"/>
        </w:rPr>
        <w:t>ve</w:t>
      </w:r>
      <w:r w:rsidRPr="00442763">
        <w:rPr>
          <w:rFonts w:eastAsiaTheme="minorHAnsi"/>
          <w:kern w:val="2"/>
          <w:lang w:val="hu-HU"/>
          <w14:ligatures w14:val="standardContextual"/>
        </w:rPr>
        <w:t xml:space="preserve">, </w:t>
      </w:r>
      <w:r w:rsidR="00442763" w:rsidRPr="00442763">
        <w:rPr>
          <w:lang w:val="hu-HU"/>
        </w:rPr>
        <w:t>amelyek tovább bővítik a megújuló energiaforrások</w:t>
      </w:r>
      <w:r w:rsidRPr="00442763">
        <w:rPr>
          <w:lang w:val="hu-HU"/>
        </w:rPr>
        <w:t xml:space="preserve"> használatát a Túzokos Központban</w:t>
      </w:r>
      <w:r w:rsidRPr="00442763">
        <w:rPr>
          <w:rFonts w:eastAsiaTheme="minorHAnsi"/>
          <w:kern w:val="2"/>
          <w:lang w:val="hu-HU"/>
          <w14:ligatures w14:val="standardContextual"/>
        </w:rPr>
        <w:t>.</w:t>
      </w:r>
    </w:p>
    <w:p w14:paraId="0F8F0571" w14:textId="2B98339F" w:rsidR="00FB0191" w:rsidRPr="00442763" w:rsidRDefault="00FB0191" w:rsidP="00FB0191">
      <w:pPr>
        <w:jc w:val="center"/>
        <w:rPr>
          <w:lang w:val="hu-HU"/>
        </w:rPr>
      </w:pPr>
    </w:p>
    <w:p w14:paraId="0C97AD49" w14:textId="77777777" w:rsidR="00241086" w:rsidRPr="00442763" w:rsidRDefault="00241086" w:rsidP="00FB0191">
      <w:pPr>
        <w:pStyle w:val="Bezriadkovania"/>
        <w:tabs>
          <w:tab w:val="left" w:pos="9923"/>
        </w:tabs>
        <w:spacing w:line="360" w:lineRule="auto"/>
        <w:ind w:right="422"/>
        <w:jc w:val="center"/>
        <w:rPr>
          <w:lang w:val="hu-HU"/>
        </w:rPr>
      </w:pPr>
    </w:p>
    <w:p w14:paraId="31DF8B4F" w14:textId="77777777" w:rsidR="00384F72" w:rsidRPr="00442763" w:rsidRDefault="00384F72" w:rsidP="00FB0191">
      <w:pPr>
        <w:pStyle w:val="Bezriadkovania"/>
        <w:tabs>
          <w:tab w:val="left" w:pos="9923"/>
        </w:tabs>
        <w:ind w:right="422"/>
        <w:jc w:val="center"/>
        <w:rPr>
          <w:lang w:val="hu-HU"/>
        </w:rPr>
      </w:pPr>
    </w:p>
    <w:p w14:paraId="67F01B9B" w14:textId="77777777" w:rsidR="00384F72" w:rsidRPr="00442763" w:rsidRDefault="00384F72" w:rsidP="00FB0191">
      <w:pPr>
        <w:pStyle w:val="Bezriadkovania"/>
        <w:tabs>
          <w:tab w:val="left" w:pos="9923"/>
        </w:tabs>
        <w:ind w:right="422"/>
        <w:jc w:val="center"/>
        <w:rPr>
          <w:lang w:val="hu-HU"/>
        </w:rPr>
      </w:pPr>
    </w:p>
    <w:p w14:paraId="015FF536" w14:textId="77777777" w:rsidR="00E2152E" w:rsidRPr="00442763" w:rsidRDefault="00E2152E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</w:p>
    <w:p w14:paraId="594EBB4F" w14:textId="77777777" w:rsidR="00E2152E" w:rsidRPr="00442763" w:rsidRDefault="00E2152E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  <w:r w:rsidRPr="00442763">
        <w:rPr>
          <w:noProof/>
          <w:lang w:val="hu-HU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A1EB34" wp14:editId="56C90B72">
                <wp:simplePos x="0" y="0"/>
                <wp:positionH relativeFrom="column">
                  <wp:posOffset>-100965</wp:posOffset>
                </wp:positionH>
                <wp:positionV relativeFrom="paragraph">
                  <wp:posOffset>197485</wp:posOffset>
                </wp:positionV>
                <wp:extent cx="5905500" cy="267652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6857139" id="Obdĺžnik 1" o:spid="_x0000_s1026" style="position:absolute;margin-left:-7.95pt;margin-top:15.55pt;width:465pt;height:2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" fillcolor="white [3201]" strokecolor="black [3200]" strokeweight="2pt"/>
            </w:pict>
          </mc:Fallback>
        </mc:AlternateContent>
      </w:r>
    </w:p>
    <w:p w14:paraId="3C74A35C" w14:textId="77777777" w:rsidR="00E2152E" w:rsidRPr="00442763" w:rsidRDefault="00E2152E" w:rsidP="00FB0191">
      <w:pPr>
        <w:pStyle w:val="Bezriadkovania"/>
        <w:tabs>
          <w:tab w:val="left" w:pos="9923"/>
        </w:tabs>
        <w:ind w:right="422"/>
        <w:jc w:val="center"/>
        <w:rPr>
          <w:b/>
          <w:lang w:val="hu-HU"/>
        </w:rPr>
      </w:pPr>
    </w:p>
    <w:p w14:paraId="4AAE8498" w14:textId="77777777" w:rsidR="00FB0191" w:rsidRPr="00442763" w:rsidRDefault="00FB0191" w:rsidP="00FB0191">
      <w:pPr>
        <w:pStyle w:val="PredformtovanHTML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</w:pP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Projekt "</w:t>
      </w:r>
      <w:r w:rsidRPr="00442763">
        <w:rPr>
          <w:b/>
          <w:lang w:val="hu-HU"/>
        </w:rPr>
        <w:t xml:space="preserve"> </w:t>
      </w:r>
      <w:r w:rsidRPr="00442763">
        <w:rPr>
          <w:rFonts w:asciiTheme="minorHAnsi" w:hAnsiTheme="minorHAnsi" w:cstheme="minorHAnsi"/>
          <w:b/>
          <w:sz w:val="22"/>
          <w:szCs w:val="22"/>
          <w:lang w:val="hu-HU"/>
        </w:rPr>
        <w:t>Climate change and environment education centre in Dropie supported for additional demonstration measures and educational programmes</w:t>
      </w:r>
      <w:r w:rsidRPr="00442763">
        <w:rPr>
          <w:rFonts w:asciiTheme="minorHAnsi" w:eastAsiaTheme="minorHAnsi" w:hAnsiTheme="minorHAnsi" w:cstheme="minorBidi"/>
          <w:kern w:val="2"/>
          <w:sz w:val="24"/>
          <w:szCs w:val="24"/>
          <w:lang w:val="hu-HU" w:eastAsia="en-US"/>
          <w14:ligatures w14:val="standardContextual"/>
        </w:rPr>
        <w:t xml:space="preserve">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"</w:t>
      </w:r>
    </w:p>
    <w:p w14:paraId="24219955" w14:textId="090112A9" w:rsidR="00FB0191" w:rsidRPr="00442763" w:rsidRDefault="00FB0191" w:rsidP="00FB0191">
      <w:pPr>
        <w:pStyle w:val="PredformtovanHTML"/>
        <w:spacing w:line="276" w:lineRule="auto"/>
        <w:jc w:val="center"/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</w:pP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A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 projekt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1 200 000 eurós támogatásban részesül Izlandtól, Liechtensteintől és Norvégiától EGT-támogatások és norvég támogatások révén. A projekt a Szlovák Köztársaság állami költségvetéséből 180 000 eurós társfinanszírozással valósul meg. A projekt célja egy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oktat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>ó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központ létrehozása, amely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 komplex módon bemutatja a klíma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változás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t érintő alkalmazkodási és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hatá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>s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mérsékl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>ő intézkedéseket és azoknak a h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elyi közösségre gyakorolt ​​hatás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ait, valamint lehetővé teszi a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releváns ismeretek és készségek elsajátítását. A Living Lab egyik legfontosabb küldetése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 hiánypótló: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megfelelő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információk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>at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, ismeretek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>et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 xml:space="preserve"> és készségek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et biztosítani az </w:t>
      </w: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érintettek</w:t>
      </w:r>
      <w:r w:rsidRPr="00442763">
        <w:rPr>
          <w:rFonts w:asciiTheme="minorHAnsi" w:eastAsiaTheme="minorHAnsi" w:hAnsiTheme="minorHAnsi" w:cstheme="minorBidi"/>
          <w:kern w:val="2"/>
          <w:sz w:val="22"/>
          <w:szCs w:val="22"/>
          <w:lang w:val="hu-HU" w:eastAsia="en-US"/>
          <w14:ligatures w14:val="standardContextual"/>
        </w:rPr>
        <w:t xml:space="preserve"> (önkormányzatok, iskolák és egyéb intézmények) számára ahhoz, hogy képesek legyenek a klímaváltozási alkalmazkodási és hatásmérséklő intézkedések helyi szintű megtervezésére és megvalósítására.</w:t>
      </w:r>
    </w:p>
    <w:p w14:paraId="38040AC0" w14:textId="77777777" w:rsidR="00FB0191" w:rsidRPr="00442763" w:rsidRDefault="00FB0191" w:rsidP="00FB0191">
      <w:pPr>
        <w:pStyle w:val="PredformtovanHTML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</w:pPr>
      <w:r w:rsidRPr="00442763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 w:eastAsia="en-US"/>
          <w14:ligatures w14:val="standardContextual"/>
        </w:rPr>
        <w:t>Ha többet szeretne megtudni az EGT és Norway Grants által finanszírozott programokról és projektekről Szlovákiában, látogasson el a www.eeagrants.sk vagy a www.norwaygrants.sk oldalra.</w:t>
      </w:r>
    </w:p>
    <w:p w14:paraId="281F6CE9" w14:textId="77777777" w:rsidR="00384F72" w:rsidRPr="00442763" w:rsidRDefault="00384F72" w:rsidP="00FB0191">
      <w:pPr>
        <w:pStyle w:val="Bezriadkovania"/>
        <w:tabs>
          <w:tab w:val="left" w:pos="9923"/>
        </w:tabs>
        <w:ind w:right="422"/>
        <w:jc w:val="center"/>
        <w:rPr>
          <w:lang w:val="hu-HU"/>
        </w:rPr>
      </w:pPr>
    </w:p>
    <w:sectPr w:rsidR="00384F72" w:rsidRPr="00442763" w:rsidSect="003F7D7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0732" w14:textId="77777777" w:rsidR="008B0E1A" w:rsidRDefault="008B0E1A" w:rsidP="0001699F">
      <w:pPr>
        <w:spacing w:after="0" w:line="240" w:lineRule="auto"/>
      </w:pPr>
      <w:r>
        <w:separator/>
      </w:r>
    </w:p>
  </w:endnote>
  <w:endnote w:type="continuationSeparator" w:id="0">
    <w:p w14:paraId="67F6E2F7" w14:textId="77777777" w:rsidR="008B0E1A" w:rsidRDefault="008B0E1A" w:rsidP="000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EB93" w14:textId="77777777" w:rsidR="001B168D" w:rsidRDefault="001B168D">
    <w:pPr>
      <w:pStyle w:val="Pta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17EA6E33" wp14:editId="1792543A">
          <wp:simplePos x="0" y="0"/>
          <wp:positionH relativeFrom="margin">
            <wp:posOffset>3923665</wp:posOffset>
          </wp:positionH>
          <wp:positionV relativeFrom="paragraph">
            <wp:posOffset>43815</wp:posOffset>
          </wp:positionV>
          <wp:extent cx="1646555" cy="52070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cdc-logo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63B5E34D" wp14:editId="53DDDD95">
          <wp:simplePos x="0" y="0"/>
          <wp:positionH relativeFrom="column">
            <wp:posOffset>1978660</wp:posOffset>
          </wp:positionH>
          <wp:positionV relativeFrom="paragraph">
            <wp:posOffset>62865</wp:posOffset>
          </wp:positionV>
          <wp:extent cx="1785620" cy="476250"/>
          <wp:effectExtent l="0" t="0" r="5080" b="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ondhe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0" locked="0" layoutInCell="1" allowOverlap="1" wp14:anchorId="018A8A74" wp14:editId="3AEE3824">
          <wp:simplePos x="0" y="0"/>
          <wp:positionH relativeFrom="margin">
            <wp:posOffset>933450</wp:posOffset>
          </wp:positionH>
          <wp:positionV relativeFrom="bottomMargin">
            <wp:posOffset>-3810</wp:posOffset>
          </wp:positionV>
          <wp:extent cx="909320" cy="587375"/>
          <wp:effectExtent l="0" t="0" r="0" b="3175"/>
          <wp:wrapSquare wrapText="bothSides"/>
          <wp:docPr id="2" name="Obrázok 1" descr="logotyp-SAZP-2015-D-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SAZP-2015-D-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932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77DBB" w14:textId="77777777" w:rsidR="008B0E1A" w:rsidRDefault="008B0E1A" w:rsidP="0001699F">
      <w:pPr>
        <w:spacing w:after="0" w:line="240" w:lineRule="auto"/>
      </w:pPr>
      <w:r>
        <w:separator/>
      </w:r>
    </w:p>
  </w:footnote>
  <w:footnote w:type="continuationSeparator" w:id="0">
    <w:p w14:paraId="11E86E9A" w14:textId="77777777" w:rsidR="008B0E1A" w:rsidRDefault="008B0E1A" w:rsidP="000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8D0F" w14:textId="77777777" w:rsidR="0001699F" w:rsidRDefault="00754C58" w:rsidP="0001699F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BDBB109" wp14:editId="16239877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1295400" cy="906780"/>
          <wp:effectExtent l="0" t="0" r="0" b="762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E9CB9CF" wp14:editId="0D913D54">
          <wp:simplePos x="0" y="0"/>
          <wp:positionH relativeFrom="rightMargin">
            <wp:align>left</wp:align>
          </wp:positionH>
          <wp:positionV relativeFrom="paragraph">
            <wp:posOffset>-249555</wp:posOffset>
          </wp:positionV>
          <wp:extent cx="626745" cy="88963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štátny znak vpravo ho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699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921"/>
    <w:multiLevelType w:val="hybridMultilevel"/>
    <w:tmpl w:val="702A8D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53AD2"/>
    <w:multiLevelType w:val="hybridMultilevel"/>
    <w:tmpl w:val="E0CC8E3A"/>
    <w:lvl w:ilvl="0" w:tplc="B454B2E8">
      <w:start w:val="9"/>
      <w:numFmt w:val="bullet"/>
      <w:lvlText w:val="-"/>
      <w:lvlJc w:val="left"/>
      <w:pPr>
        <w:ind w:left="720" w:hanging="360"/>
      </w:pPr>
      <w:rPr>
        <w:rFonts w:ascii="Calibri" w:eastAsia="Batang" w:hAnsi="Calibri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1D8"/>
    <w:multiLevelType w:val="hybridMultilevel"/>
    <w:tmpl w:val="2F08B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3668"/>
    <w:multiLevelType w:val="hybridMultilevel"/>
    <w:tmpl w:val="02B2A3AE"/>
    <w:lvl w:ilvl="0" w:tplc="8C261E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061"/>
    <w:multiLevelType w:val="hybridMultilevel"/>
    <w:tmpl w:val="2F682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4C1E"/>
    <w:multiLevelType w:val="hybridMultilevel"/>
    <w:tmpl w:val="9FFAC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042"/>
    <w:multiLevelType w:val="hybridMultilevel"/>
    <w:tmpl w:val="81DE9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3A9A"/>
    <w:multiLevelType w:val="hybridMultilevel"/>
    <w:tmpl w:val="9C7834D2"/>
    <w:lvl w:ilvl="0" w:tplc="A20E8C94">
      <w:numFmt w:val="bullet"/>
      <w:lvlText w:val="•"/>
      <w:lvlJc w:val="left"/>
      <w:pPr>
        <w:ind w:left="1065" w:hanging="705"/>
      </w:pPr>
      <w:rPr>
        <w:rFonts w:ascii="Calibri" w:eastAsia="Batang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35C62"/>
    <w:multiLevelType w:val="hybridMultilevel"/>
    <w:tmpl w:val="E7728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E0941"/>
    <w:multiLevelType w:val="hybridMultilevel"/>
    <w:tmpl w:val="A0CC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BF4"/>
    <w:multiLevelType w:val="hybridMultilevel"/>
    <w:tmpl w:val="C0C25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69E0"/>
    <w:multiLevelType w:val="hybridMultilevel"/>
    <w:tmpl w:val="F5A43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35971"/>
    <w:multiLevelType w:val="hybridMultilevel"/>
    <w:tmpl w:val="1E340E9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E2D1D"/>
    <w:multiLevelType w:val="hybridMultilevel"/>
    <w:tmpl w:val="C3E25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7CFD"/>
    <w:multiLevelType w:val="hybridMultilevel"/>
    <w:tmpl w:val="8B36F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37FFC"/>
    <w:multiLevelType w:val="hybridMultilevel"/>
    <w:tmpl w:val="9154C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B37B4"/>
    <w:multiLevelType w:val="hybridMultilevel"/>
    <w:tmpl w:val="89DC3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D2B11"/>
    <w:multiLevelType w:val="hybridMultilevel"/>
    <w:tmpl w:val="DE5CF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C1240"/>
    <w:multiLevelType w:val="hybridMultilevel"/>
    <w:tmpl w:val="9E6C1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54ADD"/>
    <w:multiLevelType w:val="hybridMultilevel"/>
    <w:tmpl w:val="723A7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621F"/>
    <w:multiLevelType w:val="hybridMultilevel"/>
    <w:tmpl w:val="2152C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42F0C"/>
    <w:multiLevelType w:val="hybridMultilevel"/>
    <w:tmpl w:val="2E0E4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218DE"/>
    <w:multiLevelType w:val="hybridMultilevel"/>
    <w:tmpl w:val="4F1C3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65B23"/>
    <w:multiLevelType w:val="hybridMultilevel"/>
    <w:tmpl w:val="A4B89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042A1"/>
    <w:multiLevelType w:val="hybridMultilevel"/>
    <w:tmpl w:val="99E0B8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24"/>
  </w:num>
  <w:num w:numId="14">
    <w:abstractNumId w:val="19"/>
  </w:num>
  <w:num w:numId="15">
    <w:abstractNumId w:val="1"/>
  </w:num>
  <w:num w:numId="16">
    <w:abstractNumId w:val="16"/>
  </w:num>
  <w:num w:numId="17">
    <w:abstractNumId w:val="23"/>
  </w:num>
  <w:num w:numId="18">
    <w:abstractNumId w:val="12"/>
  </w:num>
  <w:num w:numId="19">
    <w:abstractNumId w:val="4"/>
  </w:num>
  <w:num w:numId="20">
    <w:abstractNumId w:val="13"/>
  </w:num>
  <w:num w:numId="21">
    <w:abstractNumId w:val="10"/>
  </w:num>
  <w:num w:numId="22">
    <w:abstractNumId w:val="11"/>
  </w:num>
  <w:num w:numId="23">
    <w:abstractNumId w:val="2"/>
  </w:num>
  <w:num w:numId="24">
    <w:abstractNumId w:val="3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wMTawMDEyNLe0NLRQ0lEKTi0uzszPAykwqgUAImrisiwAAAA="/>
  </w:docVars>
  <w:rsids>
    <w:rsidRoot w:val="0001699F"/>
    <w:rsid w:val="0000713D"/>
    <w:rsid w:val="0001699F"/>
    <w:rsid w:val="00021DFD"/>
    <w:rsid w:val="00030ED3"/>
    <w:rsid w:val="000725B5"/>
    <w:rsid w:val="00077E92"/>
    <w:rsid w:val="00086C4A"/>
    <w:rsid w:val="000B3DC4"/>
    <w:rsid w:val="000B577D"/>
    <w:rsid w:val="000E576C"/>
    <w:rsid w:val="001025E4"/>
    <w:rsid w:val="00117029"/>
    <w:rsid w:val="001676E2"/>
    <w:rsid w:val="00192415"/>
    <w:rsid w:val="001B168D"/>
    <w:rsid w:val="001C589B"/>
    <w:rsid w:val="001D2618"/>
    <w:rsid w:val="00234581"/>
    <w:rsid w:val="00241086"/>
    <w:rsid w:val="00256B71"/>
    <w:rsid w:val="00282D1F"/>
    <w:rsid w:val="00283284"/>
    <w:rsid w:val="0028778F"/>
    <w:rsid w:val="002938E6"/>
    <w:rsid w:val="002B0EC4"/>
    <w:rsid w:val="002C3CF4"/>
    <w:rsid w:val="002D7589"/>
    <w:rsid w:val="00331B15"/>
    <w:rsid w:val="003631A3"/>
    <w:rsid w:val="00367AF4"/>
    <w:rsid w:val="00382013"/>
    <w:rsid w:val="00384F72"/>
    <w:rsid w:val="003D0F7D"/>
    <w:rsid w:val="003E5319"/>
    <w:rsid w:val="003F7D79"/>
    <w:rsid w:val="00416720"/>
    <w:rsid w:val="00421957"/>
    <w:rsid w:val="00434948"/>
    <w:rsid w:val="004409B8"/>
    <w:rsid w:val="00442763"/>
    <w:rsid w:val="004531A8"/>
    <w:rsid w:val="00465547"/>
    <w:rsid w:val="004745B6"/>
    <w:rsid w:val="004A242D"/>
    <w:rsid w:val="004A652F"/>
    <w:rsid w:val="004C588D"/>
    <w:rsid w:val="004D0212"/>
    <w:rsid w:val="004E217D"/>
    <w:rsid w:val="005758E7"/>
    <w:rsid w:val="00577EAD"/>
    <w:rsid w:val="005848A3"/>
    <w:rsid w:val="005876C4"/>
    <w:rsid w:val="005D2185"/>
    <w:rsid w:val="005D3AEF"/>
    <w:rsid w:val="00613650"/>
    <w:rsid w:val="00630664"/>
    <w:rsid w:val="00673771"/>
    <w:rsid w:val="00676B0D"/>
    <w:rsid w:val="00685DA4"/>
    <w:rsid w:val="00687D25"/>
    <w:rsid w:val="006C05B4"/>
    <w:rsid w:val="006C4FCE"/>
    <w:rsid w:val="0071041B"/>
    <w:rsid w:val="00730F9A"/>
    <w:rsid w:val="00736820"/>
    <w:rsid w:val="00742E3A"/>
    <w:rsid w:val="00754C58"/>
    <w:rsid w:val="00786EA2"/>
    <w:rsid w:val="007C00C1"/>
    <w:rsid w:val="007D2761"/>
    <w:rsid w:val="007D4918"/>
    <w:rsid w:val="007D6921"/>
    <w:rsid w:val="007E25D2"/>
    <w:rsid w:val="00800A7F"/>
    <w:rsid w:val="00841879"/>
    <w:rsid w:val="00857B85"/>
    <w:rsid w:val="00857F7F"/>
    <w:rsid w:val="00860D4B"/>
    <w:rsid w:val="00862E75"/>
    <w:rsid w:val="00872A7F"/>
    <w:rsid w:val="00897939"/>
    <w:rsid w:val="008B0E1A"/>
    <w:rsid w:val="008D6E8F"/>
    <w:rsid w:val="008E5215"/>
    <w:rsid w:val="008E7D41"/>
    <w:rsid w:val="008F4834"/>
    <w:rsid w:val="00915F8E"/>
    <w:rsid w:val="00952A3B"/>
    <w:rsid w:val="009660EE"/>
    <w:rsid w:val="009A47F7"/>
    <w:rsid w:val="009C12BE"/>
    <w:rsid w:val="00A10E91"/>
    <w:rsid w:val="00A57542"/>
    <w:rsid w:val="00A87EEE"/>
    <w:rsid w:val="00A92BF1"/>
    <w:rsid w:val="00AE3FF3"/>
    <w:rsid w:val="00B15F1B"/>
    <w:rsid w:val="00B4228E"/>
    <w:rsid w:val="00B4508D"/>
    <w:rsid w:val="00B51FAA"/>
    <w:rsid w:val="00B707A2"/>
    <w:rsid w:val="00B75E4F"/>
    <w:rsid w:val="00BA2460"/>
    <w:rsid w:val="00C06D82"/>
    <w:rsid w:val="00C35D62"/>
    <w:rsid w:val="00C50742"/>
    <w:rsid w:val="00C5364E"/>
    <w:rsid w:val="00C60A33"/>
    <w:rsid w:val="00C73E9F"/>
    <w:rsid w:val="00CA25D1"/>
    <w:rsid w:val="00CB2CA4"/>
    <w:rsid w:val="00CE5B2A"/>
    <w:rsid w:val="00D2498E"/>
    <w:rsid w:val="00D67A88"/>
    <w:rsid w:val="00D7489C"/>
    <w:rsid w:val="00D95F1D"/>
    <w:rsid w:val="00DA1E4B"/>
    <w:rsid w:val="00DB3B6E"/>
    <w:rsid w:val="00DD7C2C"/>
    <w:rsid w:val="00E113EC"/>
    <w:rsid w:val="00E2152E"/>
    <w:rsid w:val="00E35A52"/>
    <w:rsid w:val="00E529B8"/>
    <w:rsid w:val="00E612C0"/>
    <w:rsid w:val="00E64EA2"/>
    <w:rsid w:val="00EB71A6"/>
    <w:rsid w:val="00EC12E3"/>
    <w:rsid w:val="00ED2A0E"/>
    <w:rsid w:val="00ED7EE4"/>
    <w:rsid w:val="00F140B8"/>
    <w:rsid w:val="00F26152"/>
    <w:rsid w:val="00F363F5"/>
    <w:rsid w:val="00F64D8A"/>
    <w:rsid w:val="00F65596"/>
    <w:rsid w:val="00F767B9"/>
    <w:rsid w:val="00F83C36"/>
    <w:rsid w:val="00FA7E6D"/>
    <w:rsid w:val="00FB0191"/>
    <w:rsid w:val="00FC7B8E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CCEA1"/>
  <w15:docId w15:val="{0A64C2C1-E480-4861-AE0B-701ED827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99F"/>
    <w:rPr>
      <w:rFonts w:eastAsia="Batang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1699F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16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1699F"/>
    <w:rPr>
      <w:rFonts w:ascii="Courier New" w:eastAsia="Batang" w:hAnsi="Courier New" w:cs="Courier New"/>
      <w:color w:val="000000"/>
      <w:sz w:val="20"/>
      <w:szCs w:val="20"/>
      <w:lang w:val="en-GB" w:eastAsia="en-GB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9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699F"/>
    <w:rPr>
      <w:rFonts w:eastAsia="Batang"/>
      <w:sz w:val="20"/>
      <w:szCs w:val="20"/>
      <w:lang w:val="en-GB"/>
    </w:rPr>
  </w:style>
  <w:style w:type="paragraph" w:styleId="Podtitul">
    <w:name w:val="Subtitle"/>
    <w:basedOn w:val="Normlny"/>
    <w:link w:val="PodtitulChar"/>
    <w:qFormat/>
    <w:rsid w:val="0001699F"/>
    <w:pPr>
      <w:keepLines/>
      <w:widowControl w:val="0"/>
      <w:suppressAutoHyphens/>
      <w:spacing w:after="0" w:line="312" w:lineRule="auto"/>
      <w:jc w:val="right"/>
      <w:outlineLvl w:val="1"/>
    </w:pPr>
    <w:rPr>
      <w:rFonts w:ascii="Arial" w:eastAsia="Times New Roman" w:hAnsi="Arial" w:cs="Arial"/>
      <w:sz w:val="36"/>
      <w:szCs w:val="24"/>
      <w:lang w:val="de-DE" w:eastAsia="de-DE"/>
    </w:rPr>
  </w:style>
  <w:style w:type="character" w:customStyle="1" w:styleId="PodtitulChar">
    <w:name w:val="Podtitul Char"/>
    <w:basedOn w:val="Predvolenpsmoodseku"/>
    <w:link w:val="Podtitul"/>
    <w:rsid w:val="0001699F"/>
    <w:rPr>
      <w:rFonts w:ascii="Arial" w:eastAsia="Times New Roman" w:hAnsi="Arial" w:cs="Arial"/>
      <w:sz w:val="36"/>
      <w:szCs w:val="24"/>
      <w:lang w:val="de-DE" w:eastAsia="de-DE"/>
    </w:rPr>
  </w:style>
  <w:style w:type="paragraph" w:styleId="Bezriadkovania">
    <w:name w:val="No Spacing"/>
    <w:uiPriority w:val="1"/>
    <w:qFormat/>
    <w:rsid w:val="0001699F"/>
    <w:pPr>
      <w:spacing w:after="0" w:line="240" w:lineRule="auto"/>
    </w:pPr>
    <w:rPr>
      <w:rFonts w:eastAsia="Batang"/>
      <w:lang w:val="en-GB"/>
    </w:rPr>
  </w:style>
  <w:style w:type="paragraph" w:styleId="Odsekzoznamu">
    <w:name w:val="List Paragraph"/>
    <w:basedOn w:val="Normlny"/>
    <w:uiPriority w:val="34"/>
    <w:qFormat/>
    <w:rsid w:val="0001699F"/>
    <w:pPr>
      <w:ind w:left="720"/>
      <w:contextualSpacing/>
    </w:pPr>
    <w:rPr>
      <w:lang w:val="bg-BG"/>
    </w:rPr>
  </w:style>
  <w:style w:type="character" w:styleId="Odkaznakomentr">
    <w:name w:val="annotation reference"/>
    <w:basedOn w:val="Predvolenpsmoodseku"/>
    <w:uiPriority w:val="99"/>
    <w:semiHidden/>
    <w:unhideWhenUsed/>
    <w:rsid w:val="0001699F"/>
    <w:rPr>
      <w:sz w:val="16"/>
      <w:szCs w:val="16"/>
    </w:rPr>
  </w:style>
  <w:style w:type="table" w:styleId="Mriekatabuky">
    <w:name w:val="Table Grid"/>
    <w:basedOn w:val="Normlnatabuka"/>
    <w:uiPriority w:val="59"/>
    <w:rsid w:val="0001699F"/>
    <w:pPr>
      <w:spacing w:after="0" w:line="240" w:lineRule="auto"/>
    </w:pPr>
    <w:rPr>
      <w:rFonts w:eastAsia="Batang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99F"/>
    <w:rPr>
      <w:rFonts w:ascii="Tahoma" w:eastAsia="Batang" w:hAnsi="Tahoma" w:cs="Tahoma"/>
      <w:sz w:val="16"/>
      <w:szCs w:val="16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99F"/>
    <w:rPr>
      <w:rFonts w:eastAsia="Batang"/>
      <w:lang w:val="en-GB"/>
    </w:rPr>
  </w:style>
  <w:style w:type="paragraph" w:styleId="Pta">
    <w:name w:val="footer"/>
    <w:basedOn w:val="Normlny"/>
    <w:link w:val="PtaChar"/>
    <w:uiPriority w:val="99"/>
    <w:unhideWhenUsed/>
    <w:rsid w:val="000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99F"/>
    <w:rPr>
      <w:rFonts w:eastAsia="Batang"/>
      <w:lang w:val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0A33"/>
    <w:rPr>
      <w:color w:val="800080" w:themeColor="followedHyperlink"/>
      <w:u w:val="single"/>
    </w:rPr>
  </w:style>
  <w:style w:type="character" w:customStyle="1" w:styleId="tlid-translation">
    <w:name w:val="tlid-translation"/>
    <w:basedOn w:val="Predvolenpsmoodseku"/>
    <w:rsid w:val="00630664"/>
  </w:style>
  <w:style w:type="paragraph" w:styleId="Zkladntext">
    <w:name w:val="Body Text"/>
    <w:basedOn w:val="Normlny"/>
    <w:link w:val="ZkladntextChar"/>
    <w:uiPriority w:val="99"/>
    <w:semiHidden/>
    <w:unhideWhenUsed/>
    <w:rsid w:val="0075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C5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y2iqfc">
    <w:name w:val="y2iqfc"/>
    <w:basedOn w:val="Predvolenpsmoodseku"/>
    <w:rsid w:val="00021DF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7E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7EAD"/>
    <w:rPr>
      <w:rFonts w:eastAsia="Batang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A13E-A477-43D7-AA01-BD3F4605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sazp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baslarova</dc:creator>
  <cp:keywords/>
  <dc:description/>
  <cp:lastModifiedBy>Katarína Bérešová</cp:lastModifiedBy>
  <cp:revision>2</cp:revision>
  <cp:lastPrinted>2019-03-18T10:35:00Z</cp:lastPrinted>
  <dcterms:created xsi:type="dcterms:W3CDTF">2023-11-21T13:19:00Z</dcterms:created>
  <dcterms:modified xsi:type="dcterms:W3CDTF">2023-11-21T13:19:00Z</dcterms:modified>
</cp:coreProperties>
</file>