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ZVA NA PREDKLADANIE PON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k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kazke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zkou hodnotou pod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 ust.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117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343/2015 Z. z. 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verejnom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zmene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doplnen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niektor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                 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konov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predpisov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na predmet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"Technicko-organiza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enie medzin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rodnej konferencie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Zne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isten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é ú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zemia 2019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“ 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                                                                        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Identifik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cia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cie (verejn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ho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bookmarkStart w:name="kontakt_meno" w:id="0"/>
      <w:bookmarkEnd w:id="0"/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zov: </w:t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dlo:</w:t>
        <w:tab/>
        <w:tab/>
        <w:tab/>
        <w:t>Tajovsk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28, 975 90 Bansk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t:</w:t>
        <w:tab/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republika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O:</w:t>
        <w:tab/>
        <w:tab/>
        <w:tab/>
        <w:t>00 626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:</w:t>
        <w:tab/>
        <w:tab/>
        <w:tab/>
        <w:t>20 21 12 58 21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  <w:tab/>
        <w:t>SK 20 21 12 58 21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color w:val="000000"/>
          <w:sz w:val="22"/>
          <w:szCs w:val="22"/>
          <w:u w:val="none"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</w:t>
      </w:r>
      <w:r>
        <w:rPr>
          <w:rStyle w:val="Hyperlink.0"/>
          <w:rtl w:val="0"/>
        </w:rPr>
        <w:t xml:space="preserve">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:</w:t>
        <w:tab/>
        <w:tab/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ller, PhD. - genera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́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̌                                 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spojenie: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tna pokladnica SR</w:t>
      </w:r>
    </w:p>
    <w:p>
      <w:pPr>
        <w:pStyle w:val="TabulkaText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IBAN:</w:t>
        <w:tab/>
        <w:tab/>
        <w:tab/>
        <w:t>SK37 8180 0000 0070 0038 9214</w:t>
      </w:r>
    </w:p>
    <w:p>
      <w:pPr>
        <w:pStyle w:val="Normal.0"/>
        <w:ind w:left="141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628938" cy="538480"/>
                <wp:effectExtent l="0" t="0" r="0" b="0"/>
                <wp:wrapTopAndBottom distT="152400" distB="152400"/>
                <wp:docPr id="1073741834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38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7.2pt;margin-top:767.9pt;width:207.0pt;height:4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  <w:tab w:val="left" w:pos="360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5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7.2pt;margin-top:767.9pt;width:162.0pt;height:42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6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7.2pt;margin-top:767.9pt;width:162.0pt;height:4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7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7.2pt;margin-top:767.9pt;width:162.0pt;height:4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3266384</wp:posOffset>
                </wp:positionH>
                <wp:positionV relativeFrom="page">
                  <wp:posOffset>9752365</wp:posOffset>
                </wp:positionV>
                <wp:extent cx="2057400" cy="538480"/>
                <wp:effectExtent l="0" t="0" r="0" b="0"/>
                <wp:wrapTopAndBottom distT="152400" distB="152400"/>
                <wp:docPr id="1073741838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7.2pt;margin-top:767.9pt;width:162.0pt;height:42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3414394</wp:posOffset>
                </wp:positionH>
                <wp:positionV relativeFrom="page">
                  <wp:posOffset>9798911</wp:posOffset>
                </wp:positionV>
                <wp:extent cx="2057400" cy="731521"/>
                <wp:effectExtent l="0" t="0" r="0" b="0"/>
                <wp:wrapTopAndBottom distT="152400" distB="152400"/>
                <wp:docPr id="1073741839" name="officeArt object" descr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31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 xml:space="preserve">O: 00626031 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</w:rPr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SK37 8180 0000 0070 0038 9214</w:t>
                            </w:r>
                          </w:p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2880"/>
                              </w:tabs>
                            </w:pPr>
                            <w:r>
                              <w:rPr>
                                <w:rStyle w:val="Žiadne"/>
                                <w:rFonts w:ascii="Calibri" w:cs="Calibri" w:hAnsi="Calibri" w:eastAsia="Calibri"/>
                                <w:color w:val="878786"/>
                                <w:sz w:val="18"/>
                                <w:szCs w:val="18"/>
                                <w:u w:color="878786"/>
                                <w:rtl w:val="0"/>
                                <w:lang w:val="de-DE"/>
                              </w:rPr>
                              <w:t>IBAN: SK15 8180 0000 0070 0038 9222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68.8pt;margin-top:771.6pt;width:162.0pt;height:57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Č</w:t>
                      </w: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 xml:space="preserve">O: 00626031 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</w:rPr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SK37 8180 0000 0070 0038 9214</w:t>
                      </w:r>
                    </w:p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2880"/>
                        </w:tabs>
                      </w:pPr>
                      <w:r>
                        <w:rPr>
                          <w:rStyle w:val="Žiadne"/>
                          <w:rFonts w:ascii="Calibri" w:cs="Calibri" w:hAnsi="Calibri" w:eastAsia="Calibri"/>
                          <w:color w:val="878786"/>
                          <w:sz w:val="18"/>
                          <w:szCs w:val="18"/>
                          <w:u w:color="878786"/>
                          <w:rtl w:val="0"/>
                          <w:lang w:val="de-DE"/>
                        </w:rPr>
                        <w:t>IBAN: SK15 8180 0000 0070 0038 9222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IC (SWIFT):</w:t>
        <w:tab/>
        <w:tab/>
        <w:t>SPSRSKBA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osoba:</w:t>
        <w:tab/>
        <w:t>PhDr. Petra Bari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Telef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n:</w:t>
        <w:tab/>
        <w:tab/>
        <w:t xml:space="preserve">+421 48 4374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201</w:t>
        <w:tab/>
        <w:t xml:space="preserve">                                                                                                                E-mail:</w:t>
        <w:tab/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 Predmet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ind w:left="45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2.1.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zov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"Technicko-organiza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enie medzin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rodnej konferencie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Zne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isten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é ú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zemia 2019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“  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2.2. Opis predmetu z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>Predmetom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kazky je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technicko-organiza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zabezpe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enie medzin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rodnej konferencie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Zne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isten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é ú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zemia 2019</w:t>
      </w:r>
      <w:r>
        <w:rPr>
          <w:rStyle w:val="Žiadne"/>
          <w:rFonts w:ascii="Calibri" w:cs="Calibri" w:hAnsi="Calibri" w:eastAsia="Calibri"/>
          <w:color w:val="222222"/>
          <w:sz w:val="22"/>
          <w:szCs w:val="22"/>
          <w:u w:color="222222"/>
          <w:rtl w:val="0"/>
        </w:rPr>
        <w:t>.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Bli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žš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ia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  <w:lang w:val="da-DK"/>
        </w:rPr>
        <w:t>pecifik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cia predmetov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 je uveden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Žiadne"/>
          <w:rFonts w:ascii="Trebuchet MS" w:hAnsi="Trebuchet MS"/>
          <w:sz w:val="22"/>
          <w:szCs w:val="22"/>
          <w:rtl w:val="0"/>
        </w:rPr>
        <w:t>v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 </w:t>
      </w:r>
      <w:r>
        <w:rPr>
          <w:rStyle w:val="Žiadne"/>
          <w:rFonts w:ascii="Trebuchet MS" w:hAnsi="Trebuchet MS"/>
          <w:sz w:val="22"/>
          <w:szCs w:val="22"/>
          <w:rtl w:val="0"/>
        </w:rPr>
        <w:t>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– </w:t>
      </w:r>
      <w:r>
        <w:rPr>
          <w:rStyle w:val="Žiadne"/>
          <w:rFonts w:ascii="Trebuchet MS" w:hAnsi="Trebuchet MS"/>
          <w:sz w:val="22"/>
          <w:szCs w:val="22"/>
          <w:rtl w:val="0"/>
        </w:rPr>
        <w:t>Opis predmetu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kazky.</w:t>
      </w:r>
    </w:p>
    <w:p>
      <w:pPr>
        <w:pStyle w:val="Normal.0"/>
        <w:ind w:left="45" w:firstLine="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hd w:val="clear" w:color="auto" w:fill="ffffff"/>
        <w:rPr>
          <w:rStyle w:val="Žiad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2.3. Po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adovan</w:t>
      </w:r>
      <w:r>
        <w:rPr>
          <w:rStyle w:val="Žiadne"/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b w:val="1"/>
          <w:bCs w:val="1"/>
          <w:sz w:val="22"/>
          <w:szCs w:val="22"/>
          <w:rtl w:val="0"/>
        </w:rPr>
        <w:t>rozsah plnenia: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Rozsah plnenia je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poskytnutia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3.1. Miesto dodania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zmysle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3.2.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Trvanie zmluvy alebo lehoty uskuto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nenia: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Zmluva bude uzatvoren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dobu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t.j. do splnenia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n. 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Zdroj finan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prostriedkov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bude financovan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Opera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programu Kvalita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prostredia: -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projekt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ovanie informovanosti 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poskytovanie poradenstva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oblasti zlep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ovania kvality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prostredia na Slovenska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Na tento 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je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 max. vo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62 456,-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EUR bez DPH.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Zmluva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Typ zmluvy na poskytnutie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Zmluva 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ieb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</w:t>
      </w:r>
    </w:p>
    <w:p>
      <w:pPr>
        <w:pStyle w:val="Normal.0"/>
        <w:spacing w:line="276" w:lineRule="auto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uzavret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ust.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§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269 ods. 2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513/1991 Zb. 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 </w:t>
      </w:r>
    </w:p>
    <w:p>
      <w:pPr>
        <w:pStyle w:val="Normal.0"/>
        <w:spacing w:line="276" w:lineRule="auto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neskor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predpisov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prava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Vyhotovenie ponuky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Ponuka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vyhotoven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somnej forme, ktor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Fonts w:ascii="Calibri" w:cs="Calibri" w:hAnsi="Calibri" w:eastAsia="Calibri"/>
          <w:sz w:val="22"/>
          <w:szCs w:val="22"/>
          <w:rtl w:val="0"/>
        </w:rPr>
        <w:t>trval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zachytenie jej obsahu.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Ponuka a 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>al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ie dokumenty musia by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 slovenskom jazyku.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ponuku v jednom 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li.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after="24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Mena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ceny uv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dzan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 ponuke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stanov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cenu za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predmet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klade vlastn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tov,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innost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davkov a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jmov 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a platn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vnych predpisov.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je pred predlo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svojej ponuky povinn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vzia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vahy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etko,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 je nevyhnutn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riadne plnenie zmluvy, pri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om do svojich cien zahrnie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 plnen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predmetu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kazky.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je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 v zmysle 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predpisov (</w:t>
      </w:r>
      <w:r>
        <w:rPr>
          <w:rFonts w:ascii="Calibri" w:cs="Calibri" w:hAnsi="Calibri" w:eastAsia="Calibri"/>
          <w:sz w:val="22"/>
          <w:szCs w:val="22"/>
          <w:rtl w:val="0"/>
        </w:rPr>
        <w:t>ď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alej len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osoba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),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uvedie v EUR bez DPH.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uvedie navrhovan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</w:rPr>
        <w:t>cenu v EUR. Skuto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nie je zdanite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nou osobou pre DPH,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uvedie v ponuke.</w:t>
      </w:r>
    </w:p>
    <w:p>
      <w:pPr>
        <w:pStyle w:val="Normal.0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cena uveden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 ponuke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 v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vrhu zmluvy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plati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obdobia trvania zmluvy a nie je 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ju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ť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6.3.</w:t>
        <w:tab/>
        <w:t>Obsah ponuky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6.3.1.</w:t>
        <w:tab/>
        <w:t>Ponuka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>om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obsahova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bodov 6.3.2., 6.3.3., 6.3.4., 6.3.5., 6.3.6. a 6.3.7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vo forme uvedenej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zve, doplnen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 ako je to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tomto bode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znenie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dokladov a dokumentov,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vzory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ou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zvy, 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ak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tieto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 a pravdivo vyplni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iadaviek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6.3.2.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I.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ten, kto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ie:</w:t>
      </w:r>
    </w:p>
    <w:p>
      <w:pPr>
        <w:pStyle w:val="Normal.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nedoplatky poistn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na zdravotn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poistenie, soci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poistenie 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spevkov na starobn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chodkov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sporenie,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ulo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kone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rozhodnut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II. 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a)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zdravotnej pois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ovne a Soci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pois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ovne nie 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ako tri mesiace,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b)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dokladom o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zodpoved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nie 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ako tri mesiace,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sm. c) dolo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(vzor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5).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c)</w:t>
        <w:tab/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dlo, miesto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pobyt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zemia Slovenskej republiky 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niektor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 dokladov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alebo nevyd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ani 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doklady,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 ich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 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jeho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d)</w:t>
        <w:tab/>
        <w:t>Ak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 xml:space="preserve">vo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so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dlom, miestom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pobytom mimo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zemia Slovenskej republiky neupravuje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t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ho nahradi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uroben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dom, spr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nom, not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rom, inou odbornou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 alebo obchodnou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ciou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predpisov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ch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uzn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vydan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cia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prija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g)</w:t>
        <w:tab/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pri vyhodnocovan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splnenia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over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sanie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rskeho subjektu 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subjektov, 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il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rovnocenn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 alebo potvrdenie o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3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h)</w:t>
        <w:tab/>
        <w:t>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 subjekt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152 ods. 1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pisom do zoznamu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zozname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rskych subjektov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procese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doklady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postavenia.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  <w:r>
        <w:rPr>
          <w:rStyle w:val="Žiadne"/>
          <w:rFonts w:ascii="Trebuchet MS" w:hAnsi="Trebuchet MS"/>
          <w:sz w:val="22"/>
          <w:szCs w:val="22"/>
          <w:rtl w:val="0"/>
        </w:rPr>
        <w:t xml:space="preserve">i) </w:t>
        <w:tab/>
        <w:t>V 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pade, ak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</w:t>
      </w:r>
      <w:r>
        <w:rPr>
          <w:rStyle w:val="Žiadne"/>
          <w:rFonts w:ascii="Trebuchet MS" w:hAnsi="Trebuchet MS"/>
          <w:sz w:val="22"/>
          <w:szCs w:val="22"/>
          <w:rtl w:val="0"/>
        </w:rPr>
        <w:t>spe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  <w:lang w:val="de-DE"/>
        </w:rPr>
        <w:t>uch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dza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č </w:t>
      </w:r>
      <w:r>
        <w:rPr>
          <w:rStyle w:val="Žiadne"/>
          <w:rFonts w:ascii="Trebuchet MS" w:hAnsi="Trebuchet MS"/>
          <w:sz w:val="22"/>
          <w:szCs w:val="22"/>
          <w:rtl w:val="0"/>
        </w:rPr>
        <w:t>nebude zap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v zozname hospod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rskych subjektov, podmienku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úč</w:t>
      </w:r>
      <w:r>
        <w:rPr>
          <w:rStyle w:val="Žiadne"/>
          <w:rFonts w:ascii="Trebuchet MS" w:hAnsi="Trebuchet MS"/>
          <w:sz w:val="22"/>
          <w:szCs w:val="22"/>
          <w:rtl w:val="0"/>
        </w:rPr>
        <w:t>asti pod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ľ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a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§ </w:t>
      </w:r>
      <w:r>
        <w:rPr>
          <w:rStyle w:val="Žiadne"/>
          <w:rFonts w:ascii="Trebuchet MS" w:hAnsi="Trebuchet MS"/>
          <w:sz w:val="22"/>
          <w:szCs w:val="22"/>
          <w:rtl w:val="0"/>
        </w:rPr>
        <w:t>32 ods. 1 p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sm. e) z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kona o verejnom 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  <w:lang w:val="nl-NL"/>
        </w:rPr>
        <w:t>van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si verejn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Žiadne"/>
          <w:rFonts w:ascii="Trebuchet MS" w:hAnsi="Trebuchet MS"/>
          <w:sz w:val="22"/>
          <w:szCs w:val="22"/>
          <w:rtl w:val="0"/>
        </w:rPr>
        <w:t>obstar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>vate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ľ </w:t>
      </w:r>
      <w:r>
        <w:rPr>
          <w:rStyle w:val="Žiadne"/>
          <w:rFonts w:ascii="Trebuchet MS" w:hAnsi="Trebuchet MS"/>
          <w:sz w:val="22"/>
          <w:szCs w:val="22"/>
          <w:rtl w:val="0"/>
          <w:lang w:val="it-IT"/>
        </w:rPr>
        <w:t>over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Žiadne"/>
          <w:rFonts w:ascii="Trebuchet MS" w:hAnsi="Trebuchet MS"/>
          <w:sz w:val="22"/>
          <w:szCs w:val="22"/>
          <w:rtl w:val="0"/>
        </w:rPr>
        <w:t>prostredn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Žiadne"/>
          <w:rFonts w:ascii="Trebuchet MS" w:hAnsi="Trebuchet MS"/>
          <w:sz w:val="22"/>
          <w:szCs w:val="22"/>
          <w:rtl w:val="0"/>
        </w:rPr>
        <w:t>ctvom informa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Žiadne"/>
          <w:rFonts w:ascii="Trebuchet MS" w:hAnsi="Trebuchet MS"/>
          <w:sz w:val="22"/>
          <w:szCs w:val="22"/>
          <w:rtl w:val="0"/>
        </w:rPr>
        <w:t>n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ho syst</w:t>
      </w:r>
      <w:r>
        <w:rPr>
          <w:rStyle w:val="Žiad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Žiadne"/>
          <w:rFonts w:ascii="Trebuchet MS" w:hAnsi="Trebuchet MS"/>
          <w:sz w:val="22"/>
          <w:szCs w:val="22"/>
          <w:rtl w:val="0"/>
        </w:rPr>
        <w:t>mu verejnej spr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vy 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„</w:t>
      </w:r>
      <w:r>
        <w:rPr>
          <w:rStyle w:val="Žiadne"/>
          <w:rFonts w:ascii="Trebuchet MS" w:hAnsi="Trebuchet MS"/>
          <w:sz w:val="22"/>
          <w:szCs w:val="22"/>
          <w:rtl w:val="0"/>
        </w:rPr>
        <w:t>OverSi.gov.sk</w:t>
      </w:r>
      <w:r>
        <w:rPr>
          <w:rStyle w:val="Žiadne"/>
          <w:rFonts w:ascii="Trebuchet MS" w:hAnsi="Trebuchet MS" w:hint="default"/>
          <w:sz w:val="22"/>
          <w:szCs w:val="22"/>
          <w:rtl w:val="0"/>
        </w:rPr>
        <w:t>“</w:t>
      </w:r>
      <w:r>
        <w:rPr>
          <w:rStyle w:val="Žiadne"/>
          <w:rFonts w:ascii="Trebuchet MS" w:hAnsi="Trebuchet MS"/>
          <w:sz w:val="22"/>
          <w:szCs w:val="22"/>
          <w:rtl w:val="0"/>
        </w:rPr>
        <w:t xml:space="preserve">. </w:t>
      </w:r>
    </w:p>
    <w:p>
      <w:pPr>
        <w:pStyle w:val="Normal.0"/>
        <w:jc w:val="both"/>
        <w:rPr>
          <w:rStyle w:val="Žiadne"/>
          <w:rFonts w:ascii="Trebuchet MS" w:cs="Trebuchet MS" w:hAnsi="Trebuchet MS" w:eastAsia="Trebuchet MS"/>
          <w:sz w:val="22"/>
          <w:szCs w:val="22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Style w:val="Žiadne"/>
          <w:rFonts w:ascii="Trebuchet MS" w:cs="Trebuchet MS" w:hAnsi="Trebuchet MS" w:eastAsia="Trebuchet MS"/>
          <w:u w:color="000000"/>
        </w:rPr>
      </w:pPr>
      <w:r>
        <w:rPr>
          <w:rStyle w:val="Žiadne"/>
          <w:rFonts w:ascii="Trebuchet MS" w:hAnsi="Trebuchet MS"/>
          <w:u w:color="000000"/>
          <w:rtl w:val="0"/>
          <w:lang w:val="de-DE"/>
        </w:rPr>
        <w:t>j) Ak z technick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ô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vodov nebude mo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é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z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ska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ť 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daje alebo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 z uveden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informa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syst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mu verejnej spr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vy v rozsahu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bezodkladne, verejn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ý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obstar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vate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ľ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iada 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spe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é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ho uch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č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o predlo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enie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z pr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slu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zdrojov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ch registrov v listinnej podobe. Listinn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á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podoba v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ý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pisu pod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ľ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a predch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dzaj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ú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cej vety nesmie by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 xml:space="preserve">ť 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star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š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>ia ako 30 dn</w:t>
      </w:r>
      <w:r>
        <w:rPr>
          <w:rStyle w:val="Žiadne"/>
          <w:rFonts w:ascii="Trebuchet MS" w:hAnsi="Trebuchet MS" w:hint="default"/>
          <w:u w:color="000000"/>
          <w:rtl w:val="0"/>
          <w:lang w:val="de-DE"/>
        </w:rPr>
        <w:t>í</w:t>
      </w:r>
      <w:r>
        <w:rPr>
          <w:rStyle w:val="Žiadne"/>
          <w:rFonts w:ascii="Trebuchet MS" w:hAnsi="Trebuchet MS"/>
          <w:u w:color="000000"/>
          <w:rtl w:val="0"/>
          <w:lang w:val="de-DE"/>
        </w:rPr>
        <w:t xml:space="preserve">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6.3.3.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1. </w:t>
        <w:tab/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33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d)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Splnenie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o celkovom obrate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hrnne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 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innosti,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124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00,- EUR (slovom: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jedenstodvadsa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ťš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tyritis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 dev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sto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eur.)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adom o celkovom obrate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kazy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davkoch,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radom, aud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torom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m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nom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hospod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rske roky, resp. za roky, za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dostupn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vislosti od vzniku alebo 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atia prev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dzkovania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o celkovom obrate vo forme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adnej tabu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ky, v ktorej bude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celkov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obrat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za jednotliv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roky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eur. 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zverejnenia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 na http:// http://www.partnerskadohoda.gov.sk/zverejnovanie-zakaziek-nad-15-000-eur-a-zakaziek-vyhlasenych-osobou-ktorej-verejny-obstaravatel-poskytne-50-a-menej-financnych-prostriedkov-z-nfp-pre-sluzby/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eviduje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 na ofici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lnom internetovom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dle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nu SR (napr. Register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vierok Ministerstva financi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Slovenskej republiky), nemus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predklada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ziskov a str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alebo overen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jmoch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davkoch, ale odk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e na tento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 vhodn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sobom, napr. hypertextovou linkou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 tejto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senie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 Pre vyvr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tenie 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chko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vek pochybnost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estnom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uvedie,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 je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om, alebo jeho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rnym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nom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lenom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tatut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rneho org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nu alebo 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stupcom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ahoch a to tak,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k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vnemu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konu vykonan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v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forme pripoj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svojmu menu svoj podpis a hodnoverne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je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mene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v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ahoch.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</w:t>
        <w:tab/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senia, potvrdenia, doklady a dokumenty,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sa technickej a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6.3.4.1.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a)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zoznamom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roky od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s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cien, leh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 dodania a odberate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ov;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 sa, aby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tohto zoznamu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zal,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poskytoval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visiace s technicko-organiza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zabezpe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ubytovac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stravovac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ieb,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jmu priestorov, 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-</w:t>
        <w:tab/>
        <w:t>pren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jmu prezenta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nej, ozvu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ovacej a didaktickej techniky,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</w:t>
        <w:tab/>
        <w:t>doplnkov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mci organizovan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podujat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aduje, aby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objem 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v predmete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v celkovom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hrne bol 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vo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62 456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,- EUR bez DPH (slovom: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desiatdvatis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tyristop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'tdesiat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eur bez DPH) spolu za predch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tri roky 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 na http: http://www.partnerskadohoda.gov.sk/zverejnovanie-zakaziek-nad-15-000-eur-a-zakaziek-vyhlasenych-osobou-ktorej-verejny-obstaravatel-poskytne-50-a-menej-financnych-prostriedkov-z-nfp-pre-sluzby/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prepo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tu cudzej meny na EUR sa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ije kurz Eur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pskej centr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lnej banky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senia 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vania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"http://www.partnerskadohoda.gov.sk/zverejnovanie-zakaziek-nad-15-000-eur-a-zakaziek-vyhlasenych-osobou-ktorej-verejny-obstaravatel-poskytne-50-a-menej-financnych-prostriedkov-z-nfp-pre-sluzby/"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http://www.partnerskadohoda.gov.sk/zverejnovanie-zakaziek-nad-15-000-eur-a-zakaziek-vyhlasenych-osobou-ktorej-verejny-obstaravatel-poskytne-50-a-menej-financnych-prostriedkov-z-nfp-pre-sluzby/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 sa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34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34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g)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-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dajov o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odbornej praxi alebo o odbornej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b ur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na plnenie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lna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rove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 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tandardu: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svoju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poskytovanie 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dispoz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expertov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cich stanoven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iadavky. 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 na expertov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a)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profesijn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ivotopisu, s 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lnym obsahom: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meno a priezvisko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dosiahnut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*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pracovn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cia,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kvalifik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ca sa k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preh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 profesijnej praxe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cej sa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adovanej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 experta,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* vlastnoru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podpis experta.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6.3.4.2. b)</w:t>
        <w:tab/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dokladu (origin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lu alebo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radne osved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pie) o najvy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dosiahnutom vzdelan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experta (vo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 k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iadavke na vzdelanie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stupe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ň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vzdelania experta);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Senior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>najmenej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äť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rokov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Expert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. 2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min. jeden (1) expert Junior event mana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iadavky: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aa)</w:t>
        <w:tab/>
        <w:t>vysoko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kolsk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vzdelanie I. stup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b)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bb)</w:t>
        <w:tab/>
        <w:t xml:space="preserve">najmenej 3 roky odbornej praxe v danej oblasti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sobom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bodu 6.3.4.2.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sm. a) tejto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ie;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6.3.5.</w:t>
        <w:tab/>
        <w:t>Vlastn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ceny plnenia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pecifikovan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a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asne v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lade s inform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ciami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mi v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zve v predp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sanej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trukt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re: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ho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6.3.6.</w:t>
        <w:tab/>
        <w:t>Vyplnen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zmluvu o 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ieb v 1 rovnopise a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vnenou osobou konaj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cou za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a.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zmluvy 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 a v editovate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nej podobe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si ju vy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iada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od kontaktnej osoby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uvedenej v bode 1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zvy.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6.3.7.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4 -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6.3.8.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inej osoby,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ich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ah. V takomto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pri 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zmluvy bude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ne 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kapacity osoby, ktorej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 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sobilosti.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preukazuje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ujemca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somnou zmluvou uzavretou s osobou, ktorej kapacitami mieni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svoje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postavenie alebo svoju technick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odborn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Z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zmluvy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vypl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zok osoby,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poskytne svoje kapacity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trvania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ahu. Osoba, ktorej kapacity maj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zanie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alebo ekonomick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postavenia alebo technickej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alebo odbornej 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sobilosti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preuk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vnenie dod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tovar alebo poskytova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 vo vz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ahu k tej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kazky, na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boli kapacity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alebo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poskytnut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7. Podmienky predkladania cenovej ponuky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7.1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klady na 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klady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s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pravou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ponuky 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bez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roku vo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sledok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 Ponuky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adresu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nevracaj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. Zost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dokument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7.2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trhu poskytuje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skupina 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chto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iba jednu 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ktorej zakladate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alebo 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kom je politick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strana alebo hnutie,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jej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 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na predkladanie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8.1.1.</w:t>
        <w:tab/>
        <w:t>Lehotu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cia stanovila do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17.05.2019 do 13,00 hod.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miestneho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8.1.2</w:t>
        <w:tab/>
        <w:t>Ponuky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 je potrebn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cie: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Slovensk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agent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ra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ivotn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Tajovsk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ho 28, 975 90 Bansk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8.1.3.</w:t>
        <w:tab/>
        <w:t>V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pade osobn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ho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enia,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ujemcovia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ponuku 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podate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 na adresu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cie.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8.1.4.</w:t>
        <w:tab/>
        <w:t>Ponuka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 uplynut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vr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ti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ujemcovi neotvoren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8.1.5.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svoju cenov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vzia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odvola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do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</w:t>
      </w:r>
    </w:p>
    <w:p>
      <w:pPr>
        <w:pStyle w:val="Normal.0"/>
        <w:bidi w:val="0"/>
        <w:ind w:left="360" w:right="0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ind w:left="360" w:right="0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</w:pPr>
    </w:p>
    <w:p>
      <w:pPr>
        <w:pStyle w:val="Normal.0"/>
        <w:bidi w:val="0"/>
        <w:ind w:left="36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8.1.6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enie ob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lky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samostatnom uzavretom neprieh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adnom obale. Na obale ponuky treba uvies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nasledovn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 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daje: 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adresa obstar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cie,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cenov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ponuka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neotv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ra</w:t>
      </w:r>
      <w:r>
        <w:rPr>
          <w:rFonts w:ascii="Calibri" w:cs="Calibri" w:hAnsi="Calibri" w:eastAsia="Calibri"/>
          <w:sz w:val="22"/>
          <w:szCs w:val="22"/>
          <w:rtl w:val="0"/>
        </w:rPr>
        <w:t>ť“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enie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Technicko-organiza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zabezpe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enie medzin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rodnej konferencie 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Zne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isten</w:t>
      </w:r>
      <w:r>
        <w:rPr>
          <w:rStyle w:val="Žiadne"/>
          <w:rFonts w:ascii="Calibri" w:cs="Calibri" w:hAnsi="Calibri" w:eastAsia="Calibri" w:hint="default"/>
          <w:b w:val="1"/>
          <w:bCs w:val="1"/>
          <w:color w:val="222222"/>
          <w:sz w:val="22"/>
          <w:szCs w:val="22"/>
          <w:u w:color="222222"/>
          <w:rtl w:val="0"/>
        </w:rPr>
        <w:t>é ú</w:t>
      </w:r>
      <w:r>
        <w:rPr>
          <w:rStyle w:val="Žiadne"/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zemia 2019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8.2 Lehota viazanosti cenovej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Lehotu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stanovila do 3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1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.0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7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svojou ponukou viazan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 Lehota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plynie od uplynutia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uplynutia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stanovenej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skou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sledkov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9.1 Krit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ria na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k:</w:t>
      </w: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Najni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cena za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€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 DPH.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360" w:firstLine="0"/>
        <w:jc w:val="both"/>
        <w:rPr>
          <w:rStyle w:val="Žiadne"/>
          <w:rFonts w:ascii="Calibri" w:cs="Calibri" w:hAnsi="Calibri" w:eastAsia="Calibri"/>
          <w:sz w:val="22"/>
          <w:szCs w:val="22"/>
          <w:vertAlign w:val="superscript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Vyhodnotenie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 je neverejn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9.2 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sledkov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bude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é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elektronick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(prostredn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e-mailu) ozn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menie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sledku pos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denia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ponuky.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9.3 Obstar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cia si vyhradzuje 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vo neprija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ani jednu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ch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k.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10. Obchodn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podmienky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Plnenie s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ponuka bola prijat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bude realizovan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klade Zmluvy, 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tvor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lohu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tejto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zvy.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color w:val="ff0000"/>
          <w:sz w:val="22"/>
          <w:szCs w:val="22"/>
          <w:u w:color="ff0000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Banskej Bystrici,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a 09.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ja 2019.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lohy: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1: 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. 2: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3: Zmluva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poskytovan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ieb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 4: Formul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r, 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.5: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estn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senie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(vzor)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....................................................</w:t>
      </w:r>
    </w:p>
    <w:p>
      <w:pPr>
        <w:pStyle w:val="Normal.0"/>
        <w:jc w:val="center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RNDr. Richard Mu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 xml:space="preserve">ller, PhD. </w:t>
      </w:r>
    </w:p>
    <w:p>
      <w:pPr>
        <w:pStyle w:val="Normal.0"/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                                        gener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5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514349</wp:posOffset>
          </wp:positionV>
          <wp:extent cx="1585261" cy="759125"/>
          <wp:effectExtent l="0" t="0" r="0" b="0"/>
          <wp:wrapNone/>
          <wp:docPr id="1073741826" name="officeArt object" descr="saz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zp-logo" descr="sazp-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1" cy="75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7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3401694</wp:posOffset>
          </wp:positionH>
          <wp:positionV relativeFrom="page">
            <wp:posOffset>638174</wp:posOffset>
          </wp:positionV>
          <wp:extent cx="12700" cy="584200"/>
          <wp:effectExtent l="0" t="0" r="0" b="0"/>
          <wp:wrapNone/>
          <wp:docPr id="1073741828" name="officeArt object" descr="ci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ara" descr="ciar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" cy="58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29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360.7pt;margin-top:36.6pt;width:183.4pt;height:52.3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4580854</wp:posOffset>
              </wp:positionH>
              <wp:positionV relativeFrom="page">
                <wp:posOffset>464688</wp:posOffset>
              </wp:positionV>
              <wp:extent cx="2328701" cy="664761"/>
              <wp:effectExtent l="0" t="0" r="0" b="0"/>
              <wp:wrapNone/>
              <wp:docPr id="1073741830" name="officeArt object" descr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1" cy="66476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  <w:lang w:val="de-DE"/>
                            </w:rPr>
                            <w:t>SEKCIA EKONOMIKY A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 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PREV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346c76"/>
                              <w:sz w:val="18"/>
                              <w:szCs w:val="18"/>
                              <w:u w:color="346c76"/>
                              <w:rtl w:val="0"/>
                            </w:rPr>
                            <w:t>DZKY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de-DE"/>
                            </w:rPr>
                            <w:t>ODBOR VEREJN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  <w:lang w:val="en-US"/>
                            </w:rPr>
                            <w:t>HO OBSTAR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Á</w:t>
                          </w:r>
                          <w:r>
                            <w:rPr>
                              <w:rFonts w:ascii="Calibri" w:cs="Calibri" w:hAnsi="Calibri" w:eastAsia="Calibri"/>
                              <w:b w:val="1"/>
                              <w:bCs w:val="1"/>
                              <w:color w:val="808080"/>
                              <w:sz w:val="18"/>
                              <w:szCs w:val="18"/>
                              <w:u w:color="808080"/>
                              <w:rtl w:val="0"/>
                            </w:rPr>
                            <w:t>VANIA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nl-NL"/>
                            </w:rPr>
                            <w:t>TAJOVSK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  <w:lang w:val="de-DE"/>
                            </w:rPr>
                            <w:t>HO 28, 975 90 BANSK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  <w:rtl w:val="0"/>
                            </w:rPr>
                            <w:t>BYSTRICA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pP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color w:val="808285"/>
                              <w:sz w:val="18"/>
                              <w:szCs w:val="18"/>
                              <w:u w:color="808285"/>
                            </w:rPr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360.7pt;margin-top:36.6pt;width:183.4pt;height:52.3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  <w:lang w:val="de-DE"/>
                      </w:rPr>
                      <w:t>SEKCIA EKONOMIKY A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 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PREV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346c76"/>
                        <w:sz w:val="18"/>
                        <w:szCs w:val="18"/>
                        <w:u w:color="346c76"/>
                        <w:rtl w:val="0"/>
                      </w:rPr>
                      <w:t>DZKY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</w:rPr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de-DE"/>
                      </w:rPr>
                      <w:t>ODBOR VEREJN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  <w:lang w:val="en-US"/>
                      </w:rPr>
                      <w:t>HO OBSTAR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Á</w:t>
                    </w:r>
                    <w:r>
                      <w:rPr>
                        <w:rFonts w:ascii="Calibri" w:cs="Calibri" w:hAnsi="Calibri" w:eastAsia="Calibri"/>
                        <w:b w:val="1"/>
                        <w:bCs w:val="1"/>
                        <w:color w:val="808080"/>
                        <w:sz w:val="18"/>
                        <w:szCs w:val="18"/>
                        <w:u w:color="808080"/>
                        <w:rtl w:val="0"/>
                      </w:rPr>
                      <w:t>VANIA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nl-NL"/>
                      </w:rPr>
                      <w:t>TAJOVSK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fr-FR"/>
                      </w:rPr>
                      <w:t>É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  <w:lang w:val="de-DE"/>
                      </w:rPr>
                      <w:t>HO 28, 975 90 BANSK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 xml:space="preserve">Á </w:t>
                    </w: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  <w:rtl w:val="0"/>
                      </w:rPr>
                      <w:t>BYSTRICA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pP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color w:val="808285"/>
                        <w:sz w:val="18"/>
                        <w:szCs w:val="18"/>
                        <w:u w:color="808285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438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9798912</wp:posOffset>
          </wp:positionV>
          <wp:extent cx="544830" cy="465826"/>
          <wp:effectExtent l="0" t="0" r="0" b="0"/>
          <wp:wrapNone/>
          <wp:docPr id="1073741831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QR" descr="QR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46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5408" behindDoc="1" locked="0" layoutInCell="1" allowOverlap="1">
          <wp:simplePos x="0" y="0"/>
          <wp:positionH relativeFrom="page">
            <wp:posOffset>5239504</wp:posOffset>
          </wp:positionH>
          <wp:positionV relativeFrom="page">
            <wp:posOffset>9866725</wp:posOffset>
          </wp:positionV>
          <wp:extent cx="1670050" cy="330200"/>
          <wp:effectExtent l="0" t="0" r="0" b="0"/>
          <wp:wrapNone/>
          <wp:docPr id="1073741832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so" descr="is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6432" behindDoc="1" locked="0" layoutInCell="1" allowOverlap="1">
              <wp:simplePos x="0" y="0"/>
              <wp:positionH relativeFrom="page">
                <wp:posOffset>1551088</wp:posOffset>
              </wp:positionH>
              <wp:positionV relativeFrom="page">
                <wp:posOffset>9798912</wp:posOffset>
              </wp:positionV>
              <wp:extent cx="1887335" cy="521228"/>
              <wp:effectExtent l="0" t="0" r="0" b="0"/>
              <wp:wrapNone/>
              <wp:docPr id="1073741833" name="officeArt object" descr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335" cy="5212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Tel.: +421 / 48 / 437 41 82</w:t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</w:rPr>
                            <w:br w:type="textWrapping"/>
                          </w: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Fax: +421 / 48 / 423 04 09</w:t>
                          </w:r>
                        </w:p>
                        <w:p>
                          <w:pPr>
                            <w:pStyle w:val="Predvolené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2880"/>
                            </w:tabs>
                          </w:pPr>
                          <w:r>
                            <w:rPr>
                              <w:rFonts w:ascii="Calibri" w:cs="Calibri" w:hAnsi="Calibri" w:eastAsia="Calibri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:lang w:val="de-DE"/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122.1pt;margin-top:771.6pt;width:148.6pt;height:41.0pt;z-index:-251650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Tel.: +421 / 48 / 437 41 82</w:t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</w:rPr>
                      <w:br w:type="textWrapping"/>
                    </w: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Fax: +421 / 48 / 423 04 09</w:t>
                    </w:r>
                  </w:p>
                  <w:p>
                    <w:pPr>
                      <w:pStyle w:val="Predvolené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2880"/>
                      </w:tabs>
                    </w:pPr>
                    <w:r>
                      <w:rPr>
                        <w:rFonts w:ascii="Calibri" w:cs="Calibri" w:hAnsi="Calibri" w:eastAsia="Calibri"/>
                        <w:color w:val="878786"/>
                        <w:sz w:val="18"/>
                        <w:szCs w:val="18"/>
                        <w:u w:color="878786"/>
                        <w:rtl w:val="0"/>
                        <w:lang w:val="de-DE"/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tab/>
    </w:r>
  </w:p>
  <w:p>
    <w:pPr>
      <w:pStyle w:val="header"/>
      <w:tabs>
        <w:tab w:val="right" w:pos="9046"/>
        <w:tab w:val="clear" w:pos="9072"/>
      </w:tabs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</w:tabs>
        <w:ind w:left="1325" w:hanging="1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ísmená"/>
  </w:abstractNum>
  <w:abstractNum w:abstractNumId="3">
    <w:multiLevelType w:val="hybridMultilevel"/>
    <w:styleLink w:val="Písmená"/>
    <w:lvl w:ilvl="0">
      <w:start w:val="1"/>
      <w:numFmt w:val="lowerLetter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12"/>
  </w:abstractNum>
  <w:abstractNum w:abstractNumId="5">
    <w:multiLevelType w:val="hybridMultilevel"/>
    <w:styleLink w:val="Importovaný štýl 1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paragraph" w:styleId="TabulkaText">
    <w:name w:val="TabulkaText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Hyperlink.1">
    <w:name w:val="Hyperlink.1"/>
    <w:basedOn w:val="Žiadne"/>
    <w:next w:val="Hyperlink.1"/>
    <w:rPr>
      <w:color w:val="0000ff"/>
      <w:u w:val="single" w:color="0000ff"/>
      <w:lang w:val="it-IT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Písmená">
    <w:name w:val="Písmená"/>
    <w:pPr>
      <w:numPr>
        <w:numId w:val="5"/>
      </w:numPr>
    </w:p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  <w:style w:type="numbering" w:styleId="Importovaný štýl 12">
    <w:name w:val="Importovaný štýl 1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